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adjustRightInd w:val="0"/>
        <w:snapToGrid w:val="0"/>
        <w:spacing w:before="0" w:after="0" w:line="360" w:lineRule="auto"/>
        <w:rPr>
          <w:rFonts w:ascii="宋体" w:hAnsi="宋体" w:cs="宋体"/>
          <w:b w:val="0"/>
          <w:highlight w:val="none"/>
        </w:rPr>
      </w:pPr>
      <w:r>
        <w:rPr>
          <w:rFonts w:hint="eastAsia" w:ascii="宋体" w:hAnsi="宋体" w:cs="宋体"/>
          <w:bCs/>
          <w:highlight w:val="none"/>
        </w:rPr>
        <w:t>中小企业声明函（如适用）</w:t>
      </w:r>
    </w:p>
    <w:p>
      <w:pPr>
        <w:spacing w:line="360" w:lineRule="auto"/>
        <w:jc w:val="center"/>
        <w:rPr>
          <w:rFonts w:ascii="宋体" w:hAnsi="宋体" w:cs="宋体"/>
          <w:b/>
          <w:szCs w:val="21"/>
          <w:highlight w:val="none"/>
        </w:rPr>
      </w:pPr>
      <w:r>
        <w:rPr>
          <w:rFonts w:hint="eastAsia" w:ascii="宋体" w:hAnsi="宋体" w:cs="宋体"/>
          <w:b/>
          <w:szCs w:val="21"/>
          <w:highlight w:val="none"/>
        </w:rPr>
        <w:t>（投标人认为其为中小企业的应提交本函，并明确企业类型，否则评审时不能</w:t>
      </w:r>
      <w:r>
        <w:rPr>
          <w:rFonts w:hint="eastAsia" w:ascii="宋体" w:hAnsi="宋体" w:cs="宋体"/>
          <w:b/>
          <w:highlight w:val="none"/>
        </w:rPr>
        <w:t>享受</w:t>
      </w:r>
      <w:r>
        <w:rPr>
          <w:rFonts w:hint="eastAsia" w:ascii="宋体" w:hAnsi="宋体" w:cs="宋体"/>
          <w:b/>
          <w:szCs w:val="21"/>
          <w:highlight w:val="none"/>
        </w:rPr>
        <w:t>相应的价格扣除）</w:t>
      </w:r>
    </w:p>
    <w:p>
      <w:pPr>
        <w:spacing w:line="360" w:lineRule="auto"/>
        <w:ind w:firstLine="420" w:firstLineChars="200"/>
        <w:rPr>
          <w:rFonts w:hint="eastAsia" w:ascii="宋体" w:hAnsi="宋体"/>
          <w:szCs w:val="21"/>
          <w:highlight w:val="none"/>
        </w:rPr>
      </w:pPr>
      <w:r>
        <w:rPr>
          <w:rFonts w:hint="eastAsia" w:ascii="宋体" w:hAnsi="宋体"/>
          <w:szCs w:val="21"/>
          <w:highlight w:val="none"/>
        </w:rPr>
        <w:t>本公司（联合体）郑重声明，根据《政府采购促进中小企业发展管理办法》（财库﹝2020﹞46 号）的规定，本公司（联合体）参加</w:t>
      </w:r>
      <w:r>
        <w:rPr>
          <w:rFonts w:hint="eastAsia" w:ascii="宋体" w:hAnsi="宋体"/>
          <w:szCs w:val="21"/>
          <w:highlight w:val="none"/>
          <w:u w:val="single"/>
        </w:rPr>
        <w:t>（单位名称）</w:t>
      </w:r>
      <w:r>
        <w:rPr>
          <w:rFonts w:hint="eastAsia" w:ascii="宋体" w:hAnsi="宋体"/>
          <w:szCs w:val="21"/>
          <w:highlight w:val="none"/>
        </w:rPr>
        <w:t>的</w:t>
      </w:r>
      <w:r>
        <w:rPr>
          <w:rFonts w:hint="eastAsia" w:ascii="宋体" w:hAnsi="宋体"/>
          <w:szCs w:val="21"/>
          <w:highlight w:val="none"/>
          <w:u w:val="single"/>
        </w:rPr>
        <w:t>（项目名称）</w:t>
      </w:r>
      <w:r>
        <w:rPr>
          <w:rFonts w:hint="eastAsia" w:ascii="宋体" w:hAnsi="宋体"/>
          <w:szCs w:val="21"/>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20" w:firstLineChars="200"/>
        <w:rPr>
          <w:rFonts w:hint="eastAsia" w:ascii="宋体" w:hAnsi="宋体"/>
          <w:szCs w:val="21"/>
          <w:highlight w:val="none"/>
        </w:rPr>
      </w:pPr>
      <w:r>
        <w:rPr>
          <w:rFonts w:hint="eastAsia" w:ascii="宋体" w:hAnsi="宋体"/>
          <w:szCs w:val="21"/>
          <w:highlight w:val="none"/>
        </w:rPr>
        <w:t>1.</w:t>
      </w:r>
      <w:r>
        <w:rPr>
          <w:rFonts w:hint="eastAsia" w:ascii="宋体" w:hAnsi="宋体"/>
          <w:szCs w:val="21"/>
          <w:highlight w:val="none"/>
          <w:u w:val="single"/>
        </w:rPr>
        <w:t xml:space="preserve"> （标的名称） </w:t>
      </w:r>
      <w:r>
        <w:rPr>
          <w:rFonts w:hint="eastAsia" w:ascii="宋体" w:hAnsi="宋体"/>
          <w:szCs w:val="21"/>
          <w:highlight w:val="none"/>
        </w:rPr>
        <w:t>，属于</w:t>
      </w:r>
      <w:r>
        <w:rPr>
          <w:rFonts w:hint="eastAsia" w:ascii="宋体" w:hAnsi="宋体"/>
          <w:szCs w:val="21"/>
          <w:highlight w:val="none"/>
          <w:u w:val="single"/>
        </w:rPr>
        <w:t xml:space="preserve"> </w:t>
      </w:r>
      <w:r>
        <w:rPr>
          <w:rFonts w:hint="eastAsia" w:ascii="宋体" w:hAnsi="宋体"/>
          <w:szCs w:val="21"/>
          <w:highlight w:val="none"/>
          <w:u w:val="single"/>
          <w:lang w:eastAsia="zh-CN"/>
        </w:rPr>
        <w:t>物业管理</w:t>
      </w:r>
      <w:r>
        <w:rPr>
          <w:rFonts w:hint="eastAsia" w:ascii="宋体" w:hAnsi="宋体"/>
          <w:szCs w:val="21"/>
          <w:highlight w:val="none"/>
          <w:u w:val="single"/>
        </w:rPr>
        <w:t xml:space="preserve"> </w:t>
      </w:r>
      <w:r>
        <w:rPr>
          <w:rFonts w:hint="eastAsia" w:ascii="宋体" w:hAnsi="宋体"/>
          <w:szCs w:val="21"/>
          <w:highlight w:val="none"/>
        </w:rPr>
        <w:t>；承建（承接）企业为</w:t>
      </w:r>
      <w:r>
        <w:rPr>
          <w:rFonts w:hint="eastAsia" w:ascii="宋体" w:hAnsi="宋体"/>
          <w:szCs w:val="21"/>
          <w:highlight w:val="none"/>
          <w:u w:val="single"/>
        </w:rPr>
        <w:t>（企业名称）</w:t>
      </w:r>
      <w:r>
        <w:rPr>
          <w:rFonts w:hint="eastAsia" w:ascii="宋体" w:hAnsi="宋体"/>
          <w:szCs w:val="21"/>
          <w:highlight w:val="none"/>
        </w:rPr>
        <w:t>，从业人员</w:t>
      </w:r>
      <w:r>
        <w:rPr>
          <w:rFonts w:hint="eastAsia" w:ascii="宋体" w:hAnsi="宋体"/>
          <w:szCs w:val="21"/>
          <w:highlight w:val="none"/>
          <w:u w:val="single"/>
        </w:rPr>
        <w:t xml:space="preserve">        </w:t>
      </w:r>
      <w:r>
        <w:rPr>
          <w:rFonts w:hint="eastAsia" w:ascii="宋体" w:hAnsi="宋体"/>
          <w:szCs w:val="21"/>
          <w:highlight w:val="none"/>
        </w:rPr>
        <w:t>人，营业收入为</w:t>
      </w:r>
      <w:r>
        <w:rPr>
          <w:rFonts w:hint="eastAsia" w:ascii="宋体" w:hAnsi="宋体"/>
          <w:szCs w:val="21"/>
          <w:highlight w:val="none"/>
          <w:u w:val="single"/>
        </w:rPr>
        <w:t xml:space="preserve">     </w:t>
      </w:r>
      <w:r>
        <w:rPr>
          <w:rFonts w:hint="eastAsia" w:ascii="宋体" w:hAnsi="宋体"/>
          <w:szCs w:val="21"/>
          <w:highlight w:val="none"/>
        </w:rPr>
        <w:t>万元，资产总额为</w:t>
      </w:r>
      <w:r>
        <w:rPr>
          <w:rFonts w:hint="eastAsia" w:ascii="宋体" w:hAnsi="宋体"/>
          <w:szCs w:val="21"/>
          <w:highlight w:val="none"/>
          <w:u w:val="single"/>
        </w:rPr>
        <w:t xml:space="preserve">      </w:t>
      </w:r>
      <w:r>
        <w:rPr>
          <w:rFonts w:hint="eastAsia" w:ascii="宋体" w:hAnsi="宋体"/>
          <w:szCs w:val="21"/>
          <w:highlight w:val="none"/>
        </w:rPr>
        <w:t xml:space="preserve">万元¹，属于（中型企业、小型企业、微型企业）； </w:t>
      </w:r>
    </w:p>
    <w:p>
      <w:pPr>
        <w:spacing w:line="360" w:lineRule="auto"/>
        <w:ind w:firstLine="420" w:firstLineChars="200"/>
        <w:rPr>
          <w:rFonts w:hint="eastAsia" w:ascii="宋体" w:hAnsi="宋体"/>
          <w:szCs w:val="21"/>
          <w:highlight w:val="none"/>
        </w:rPr>
      </w:pPr>
      <w:r>
        <w:rPr>
          <w:rFonts w:hint="eastAsia" w:ascii="宋体" w:hAnsi="宋体"/>
          <w:szCs w:val="21"/>
          <w:highlight w:val="none"/>
        </w:rPr>
        <w:t xml:space="preserve">2. </w:t>
      </w:r>
      <w:r>
        <w:rPr>
          <w:rFonts w:hint="eastAsia" w:ascii="宋体" w:hAnsi="宋体"/>
          <w:szCs w:val="21"/>
          <w:highlight w:val="none"/>
          <w:u w:val="single"/>
        </w:rPr>
        <w:t xml:space="preserve">（标的名称） </w:t>
      </w:r>
      <w:r>
        <w:rPr>
          <w:rFonts w:hint="eastAsia" w:ascii="宋体" w:hAnsi="宋体"/>
          <w:szCs w:val="21"/>
          <w:highlight w:val="none"/>
        </w:rPr>
        <w:t>，属于</w:t>
      </w:r>
      <w:r>
        <w:rPr>
          <w:rFonts w:hint="eastAsia" w:ascii="宋体" w:hAnsi="宋体"/>
          <w:szCs w:val="21"/>
          <w:highlight w:val="none"/>
          <w:u w:val="single"/>
        </w:rPr>
        <w:t xml:space="preserve"> </w:t>
      </w:r>
      <w:r>
        <w:rPr>
          <w:rFonts w:hint="eastAsia" w:ascii="宋体" w:hAnsi="宋体"/>
          <w:szCs w:val="21"/>
          <w:highlight w:val="none"/>
          <w:u w:val="single"/>
          <w:lang w:eastAsia="zh-CN"/>
        </w:rPr>
        <w:t>物业管理</w:t>
      </w:r>
      <w:r>
        <w:rPr>
          <w:rFonts w:hint="eastAsia" w:ascii="宋体" w:hAnsi="宋体"/>
          <w:szCs w:val="21"/>
          <w:highlight w:val="none"/>
          <w:u w:val="single"/>
        </w:rPr>
        <w:t xml:space="preserve"> </w:t>
      </w:r>
      <w:r>
        <w:rPr>
          <w:rFonts w:hint="eastAsia" w:ascii="宋体" w:hAnsi="宋体"/>
          <w:szCs w:val="21"/>
          <w:highlight w:val="none"/>
        </w:rPr>
        <w:t>； 承建（承接）企业为</w:t>
      </w:r>
      <w:r>
        <w:rPr>
          <w:rFonts w:hint="eastAsia" w:ascii="宋体" w:hAnsi="宋体"/>
          <w:szCs w:val="21"/>
          <w:highlight w:val="none"/>
          <w:u w:val="single"/>
        </w:rPr>
        <w:t>（企业名称）</w:t>
      </w:r>
      <w:r>
        <w:rPr>
          <w:rFonts w:hint="eastAsia" w:ascii="宋体" w:hAnsi="宋体"/>
          <w:szCs w:val="21"/>
          <w:highlight w:val="none"/>
        </w:rPr>
        <w:t xml:space="preserve">，从业人员 </w:t>
      </w:r>
      <w:r>
        <w:rPr>
          <w:rFonts w:hint="eastAsia" w:ascii="宋体" w:hAnsi="宋体"/>
          <w:szCs w:val="21"/>
          <w:highlight w:val="none"/>
          <w:u w:val="single"/>
        </w:rPr>
        <w:t xml:space="preserve">     </w:t>
      </w:r>
      <w:r>
        <w:rPr>
          <w:rFonts w:hint="eastAsia" w:ascii="宋体" w:hAnsi="宋体"/>
          <w:szCs w:val="21"/>
          <w:highlight w:val="none"/>
        </w:rPr>
        <w:t>人，营业收入为</w:t>
      </w:r>
      <w:r>
        <w:rPr>
          <w:rFonts w:hint="eastAsia" w:ascii="宋体" w:hAnsi="宋体"/>
          <w:szCs w:val="21"/>
          <w:highlight w:val="none"/>
          <w:u w:val="single"/>
        </w:rPr>
        <w:t xml:space="preserve">     </w:t>
      </w:r>
      <w:r>
        <w:rPr>
          <w:rFonts w:hint="eastAsia" w:ascii="宋体" w:hAnsi="宋体"/>
          <w:szCs w:val="21"/>
          <w:highlight w:val="none"/>
        </w:rPr>
        <w:t>万元，资产总额为</w:t>
      </w:r>
      <w:r>
        <w:rPr>
          <w:rFonts w:hint="eastAsia" w:ascii="宋体" w:hAnsi="宋体"/>
          <w:szCs w:val="21"/>
          <w:highlight w:val="none"/>
          <w:u w:val="single"/>
        </w:rPr>
        <w:t xml:space="preserve">    </w:t>
      </w:r>
      <w:r>
        <w:rPr>
          <w:rFonts w:hint="eastAsia" w:ascii="宋体" w:hAnsi="宋体"/>
          <w:szCs w:val="21"/>
          <w:highlight w:val="none"/>
        </w:rPr>
        <w:t>万元¹，属于</w:t>
      </w:r>
      <w:r>
        <w:rPr>
          <w:rFonts w:hint="eastAsia" w:ascii="宋体" w:hAnsi="宋体"/>
          <w:szCs w:val="21"/>
          <w:highlight w:val="none"/>
          <w:u w:val="single"/>
        </w:rPr>
        <w:t>（中型企业、小型企业、微型企业）</w:t>
      </w:r>
      <w:r>
        <w:rPr>
          <w:rFonts w:hint="eastAsia" w:ascii="宋体" w:hAnsi="宋体"/>
          <w:szCs w:val="21"/>
          <w:highlight w:val="none"/>
        </w:rPr>
        <w:t xml:space="preserve">； </w:t>
      </w:r>
    </w:p>
    <w:p>
      <w:pPr>
        <w:spacing w:line="360" w:lineRule="auto"/>
        <w:ind w:firstLine="420" w:firstLineChars="200"/>
        <w:rPr>
          <w:rFonts w:hint="eastAsia" w:ascii="宋体" w:hAnsi="宋体"/>
          <w:szCs w:val="21"/>
          <w:highlight w:val="none"/>
        </w:rPr>
      </w:pPr>
      <w:r>
        <w:rPr>
          <w:rFonts w:hint="eastAsia" w:ascii="宋体" w:hAnsi="宋体"/>
          <w:szCs w:val="21"/>
          <w:highlight w:val="none"/>
        </w:rPr>
        <w:t>……</w:t>
      </w:r>
    </w:p>
    <w:p>
      <w:pPr>
        <w:spacing w:line="360" w:lineRule="auto"/>
        <w:ind w:firstLine="420" w:firstLineChars="200"/>
        <w:rPr>
          <w:rFonts w:hint="eastAsia" w:ascii="宋体" w:hAnsi="宋体"/>
          <w:szCs w:val="21"/>
          <w:highlight w:val="none"/>
        </w:rPr>
      </w:pPr>
      <w:r>
        <w:rPr>
          <w:rFonts w:hint="eastAsia" w:ascii="宋体" w:hAnsi="宋体"/>
          <w:szCs w:val="21"/>
          <w:highlight w:val="none"/>
        </w:rPr>
        <w:t>以上企业，不属于大企业的分支机构，不存在控股股东为大企业的情形，也不存在与大企业的负责人为同一人的情形。</w:t>
      </w:r>
    </w:p>
    <w:p>
      <w:pPr>
        <w:spacing w:line="360" w:lineRule="auto"/>
        <w:ind w:firstLine="420" w:firstLineChars="200"/>
        <w:rPr>
          <w:rFonts w:hint="eastAsia" w:ascii="宋体" w:hAnsi="宋体"/>
          <w:szCs w:val="21"/>
          <w:highlight w:val="none"/>
        </w:rPr>
      </w:pPr>
      <w:r>
        <w:rPr>
          <w:rFonts w:hint="eastAsia" w:ascii="宋体" w:hAnsi="宋体"/>
          <w:szCs w:val="21"/>
          <w:highlight w:val="none"/>
        </w:rPr>
        <w:t xml:space="preserve">本企业对上述声明内容的真实性负责。如有虚假，将依法承担相应责任。 </w:t>
      </w:r>
    </w:p>
    <w:p>
      <w:pPr>
        <w:spacing w:line="360" w:lineRule="auto"/>
        <w:ind w:firstLine="420" w:firstLineChars="200"/>
        <w:rPr>
          <w:rFonts w:hint="eastAsia" w:ascii="宋体" w:hAnsi="宋体"/>
          <w:szCs w:val="21"/>
          <w:highlight w:val="none"/>
        </w:rPr>
      </w:pPr>
      <w:r>
        <w:rPr>
          <w:rFonts w:hint="eastAsia" w:ascii="宋体" w:hAnsi="宋体"/>
          <w:szCs w:val="21"/>
          <w:highlight w:val="none"/>
        </w:rPr>
        <w:t xml:space="preserve"> 投标人已知悉《政府采购促进中小企业发展管理办法》（财库〔2020〕 46 号）、《中小企业划型标准规定》（工信部联企〔2011〕 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 等政府采购有关法律法规规定追究相应责任。</w:t>
      </w:r>
    </w:p>
    <w:p>
      <w:pPr>
        <w:wordWrap w:val="0"/>
        <w:spacing w:line="360" w:lineRule="auto"/>
        <w:ind w:firstLine="420" w:firstLineChars="200"/>
        <w:rPr>
          <w:rFonts w:hint="eastAsia" w:ascii="宋体" w:hAnsi="宋体"/>
          <w:szCs w:val="21"/>
          <w:highlight w:val="none"/>
        </w:rPr>
      </w:pPr>
    </w:p>
    <w:p>
      <w:pPr>
        <w:wordWrap w:val="0"/>
        <w:spacing w:line="360" w:lineRule="auto"/>
        <w:ind w:firstLine="420" w:firstLineChars="200"/>
        <w:jc w:val="right"/>
        <w:rPr>
          <w:rFonts w:hint="eastAsia" w:ascii="宋体" w:hAnsi="宋体"/>
          <w:szCs w:val="21"/>
          <w:highlight w:val="none"/>
        </w:rPr>
      </w:pPr>
      <w:r>
        <w:rPr>
          <w:rFonts w:hint="eastAsia" w:ascii="宋体" w:hAnsi="宋体"/>
          <w:szCs w:val="21"/>
          <w:highlight w:val="none"/>
        </w:rPr>
        <w:t xml:space="preserve">投标人单位名称：   </w:t>
      </w:r>
    </w:p>
    <w:p>
      <w:pPr>
        <w:wordWrap w:val="0"/>
        <w:spacing w:line="360" w:lineRule="auto"/>
        <w:ind w:firstLine="420" w:firstLineChars="200"/>
        <w:jc w:val="right"/>
        <w:rPr>
          <w:rFonts w:hint="eastAsia" w:ascii="宋体" w:hAnsi="宋体"/>
          <w:szCs w:val="21"/>
          <w:highlight w:val="none"/>
        </w:rPr>
      </w:pPr>
      <w:r>
        <w:rPr>
          <w:rFonts w:hint="eastAsia" w:ascii="宋体" w:hAnsi="宋体"/>
          <w:szCs w:val="21"/>
          <w:highlight w:val="none"/>
        </w:rPr>
        <w:t xml:space="preserve">日期：       </w:t>
      </w:r>
    </w:p>
    <w:p>
      <w:pPr>
        <w:spacing w:line="360" w:lineRule="auto"/>
        <w:ind w:firstLine="420" w:firstLineChars="200"/>
        <w:rPr>
          <w:rFonts w:hint="eastAsia" w:ascii="宋体" w:hAnsi="宋体"/>
          <w:szCs w:val="21"/>
          <w:highlight w:val="none"/>
        </w:rPr>
      </w:pPr>
    </w:p>
    <w:p>
      <w:pPr>
        <w:ind w:firstLine="420" w:firstLineChars="200"/>
        <w:rPr>
          <w:rFonts w:hint="eastAsia" w:ascii="宋体" w:hAnsi="宋体"/>
          <w:szCs w:val="21"/>
          <w:highlight w:val="none"/>
        </w:rPr>
      </w:pPr>
      <w:r>
        <w:rPr>
          <w:rFonts w:hint="eastAsia" w:ascii="宋体" w:hAnsi="宋体"/>
          <w:szCs w:val="21"/>
          <w:highlight w:val="none"/>
        </w:rPr>
        <w:t>¹从业人员、营业收入、资产总额填报上一年度数据，无上一年度数据的新成立企业可不填报。</w:t>
      </w:r>
    </w:p>
    <w:p>
      <w:pPr>
        <w:wordWrap w:val="0"/>
        <w:ind w:firstLine="420" w:firstLineChars="200"/>
        <w:jc w:val="right"/>
        <w:rPr>
          <w:rFonts w:ascii="宋体" w:hAnsi="宋体"/>
          <w:szCs w:val="21"/>
          <w:highlight w:val="none"/>
        </w:rPr>
      </w:pPr>
      <w:r>
        <w:rPr>
          <w:rFonts w:hint="eastAsia" w:ascii="宋体" w:hAnsi="宋体"/>
          <w:szCs w:val="21"/>
          <w:highlight w:val="none"/>
        </w:rPr>
        <w:t xml:space="preserve">     </w:t>
      </w:r>
    </w:p>
    <w:p>
      <w:pPr>
        <w:adjustRightInd w:val="0"/>
        <w:snapToGrid w:val="0"/>
        <w:spacing w:line="360" w:lineRule="auto"/>
        <w:rPr>
          <w:rFonts w:ascii="宋体" w:hAnsi="宋体" w:cs="宋体"/>
          <w:szCs w:val="21"/>
          <w:highlight w:val="none"/>
        </w:rPr>
      </w:pPr>
      <w:r>
        <w:rPr>
          <w:rFonts w:hint="eastAsia" w:ascii="宋体" w:hAnsi="宋体" w:cs="宋体"/>
          <w:szCs w:val="21"/>
          <w:highlight w:val="none"/>
        </w:rPr>
        <w:t>注:如投标人提供的货物中有其他小型或微型企业生产的货物时，请将货物制造商的《中小企业声明函》一并提供，否则该部分货物视为不符合价格扣除条件。</w:t>
      </w:r>
    </w:p>
    <w:p>
      <w:pPr>
        <w:pStyle w:val="3"/>
        <w:adjustRightInd w:val="0"/>
        <w:snapToGrid w:val="0"/>
        <w:spacing w:before="0" w:after="0" w:line="360" w:lineRule="auto"/>
        <w:rPr>
          <w:rFonts w:ascii="宋体" w:hAnsi="宋体" w:cs="宋体"/>
          <w:bCs/>
          <w:highlight w:val="none"/>
        </w:rPr>
      </w:pPr>
      <w:r>
        <w:rPr>
          <w:rFonts w:hint="eastAsia" w:ascii="宋体" w:hAnsi="宋体" w:cs="宋体"/>
          <w:bCs/>
          <w:highlight w:val="none"/>
        </w:rPr>
        <w:t>监狱企业的证明文件（如适用）</w:t>
      </w:r>
    </w:p>
    <w:p>
      <w:pPr>
        <w:spacing w:line="360" w:lineRule="auto"/>
        <w:ind w:firstLine="308" w:firstLineChars="147"/>
        <w:rPr>
          <w:rFonts w:ascii="宋体" w:hAnsi="宋体" w:cs="宋体"/>
          <w:highlight w:val="none"/>
        </w:rPr>
      </w:pPr>
      <w:r>
        <w:rPr>
          <w:rFonts w:hint="eastAsia" w:ascii="宋体" w:hAnsi="宋体" w:cs="宋体"/>
          <w:highlight w:val="none"/>
        </w:rPr>
        <w:t>说明：监狱企业参加政府采购活动时，应当提供由省级以上监狱管理局、戒毒管理局（含新疆生产建设兵团）出具的属于监狱企业的证明文件复印件，并加盖投标单位公章。</w:t>
      </w:r>
    </w:p>
    <w:p>
      <w:pPr>
        <w:spacing w:line="360" w:lineRule="auto"/>
        <w:ind w:firstLine="310" w:firstLineChars="147"/>
        <w:rPr>
          <w:rFonts w:ascii="宋体" w:hAnsi="宋体" w:cs="宋体"/>
          <w:b/>
          <w:highlight w:val="none"/>
        </w:rPr>
      </w:pPr>
    </w:p>
    <w:p>
      <w:pPr>
        <w:pStyle w:val="3"/>
        <w:adjustRightInd w:val="0"/>
        <w:snapToGrid w:val="0"/>
        <w:spacing w:before="0" w:after="0" w:line="360" w:lineRule="auto"/>
        <w:rPr>
          <w:rFonts w:ascii="宋体" w:hAnsi="宋体" w:cs="宋体"/>
          <w:bCs/>
          <w:highlight w:val="none"/>
        </w:rPr>
      </w:pPr>
      <w:bookmarkStart w:id="0" w:name="OLE_LINK14"/>
      <w:bookmarkStart w:id="1" w:name="OLE_LINK13"/>
      <w:r>
        <w:rPr>
          <w:rFonts w:hint="eastAsia" w:ascii="宋体" w:hAnsi="宋体" w:cs="宋体"/>
          <w:bCs/>
          <w:highlight w:val="none"/>
        </w:rPr>
        <w:t>残疾人福利性单位声明函（如适用）</w:t>
      </w:r>
    </w:p>
    <w:bookmarkEnd w:id="0"/>
    <w:bookmarkEnd w:id="1"/>
    <w:p>
      <w:pPr>
        <w:adjustRightInd w:val="0"/>
        <w:snapToGrid w:val="0"/>
        <w:spacing w:line="360" w:lineRule="auto"/>
        <w:ind w:firstLine="444" w:firstLineChars="200"/>
        <w:rPr>
          <w:rFonts w:ascii="宋体" w:hAnsi="宋体" w:cs="宋体"/>
          <w:spacing w:val="6"/>
          <w:szCs w:val="21"/>
          <w:highlight w:val="none"/>
        </w:rPr>
      </w:pPr>
      <w:r>
        <w:rPr>
          <w:rFonts w:hint="eastAsia" w:ascii="宋体" w:hAnsi="宋体" w:cs="宋体"/>
          <w:spacing w:val="6"/>
          <w:szCs w:val="21"/>
          <w:highlight w:val="none"/>
        </w:rPr>
        <w:t>本单位郑重声明，根据《财政部 民政部 中国残疾人联合会关于促进残疾人就业政府采购政策的通知》（财库</w:t>
      </w:r>
      <w:r>
        <w:rPr>
          <w:rFonts w:hint="eastAsia" w:ascii="宋体" w:hAnsi="宋体" w:cs="宋体"/>
          <w:szCs w:val="21"/>
          <w:highlight w:val="none"/>
        </w:rPr>
        <w:t>〔2017〕 141</w:t>
      </w:r>
      <w:r>
        <w:rPr>
          <w:rFonts w:hint="eastAsia" w:ascii="宋体" w:hAnsi="宋体" w:cs="宋体"/>
          <w:spacing w:val="6"/>
          <w:szCs w:val="21"/>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adjustRightInd w:val="0"/>
        <w:snapToGrid w:val="0"/>
        <w:spacing w:line="360" w:lineRule="auto"/>
        <w:ind w:firstLine="444" w:firstLineChars="200"/>
        <w:rPr>
          <w:rFonts w:ascii="宋体" w:hAnsi="宋体" w:cs="宋体"/>
          <w:spacing w:val="6"/>
          <w:szCs w:val="21"/>
          <w:highlight w:val="none"/>
        </w:rPr>
      </w:pPr>
      <w:r>
        <w:rPr>
          <w:rFonts w:hint="eastAsia" w:ascii="宋体" w:hAnsi="宋体" w:cs="宋体"/>
          <w:spacing w:val="6"/>
          <w:szCs w:val="21"/>
          <w:highlight w:val="none"/>
        </w:rPr>
        <w:t>本单位对上述声明的真实性负责。如有虚假，将依法承担相应责任。</w:t>
      </w:r>
    </w:p>
    <w:p>
      <w:pPr>
        <w:adjustRightInd w:val="0"/>
        <w:snapToGrid w:val="0"/>
        <w:spacing w:line="360" w:lineRule="auto"/>
        <w:ind w:firstLine="444" w:firstLineChars="200"/>
        <w:rPr>
          <w:rFonts w:hint="eastAsia" w:ascii="宋体" w:hAnsi="宋体" w:cs="宋体"/>
          <w:spacing w:val="6"/>
          <w:szCs w:val="21"/>
          <w:highlight w:val="none"/>
        </w:rPr>
      </w:pPr>
      <w:r>
        <w:rPr>
          <w:rFonts w:hint="eastAsia" w:ascii="宋体" w:hAnsi="宋体" w:cs="宋体"/>
          <w:spacing w:val="6"/>
          <w:szCs w:val="21"/>
          <w:highlight w:val="none"/>
        </w:rPr>
        <w:t>投标人知悉《关于促进残疾人就业政府采购政策的通知》（财库〔2017〕141号）的规定，承诺提供的声明函内容是真实的，如提供声明函内容不实，则依法追究相关法律责任。</w:t>
      </w:r>
    </w:p>
    <w:p>
      <w:pPr>
        <w:jc w:val="left"/>
        <w:rPr>
          <w:rFonts w:hint="eastAsia"/>
          <w:highlight w:val="none"/>
        </w:rPr>
      </w:pPr>
    </w:p>
    <w:p>
      <w:pPr>
        <w:tabs>
          <w:tab w:val="left" w:pos="4860"/>
        </w:tabs>
        <w:spacing w:line="360" w:lineRule="auto"/>
        <w:ind w:left="6237" w:leftChars="2970" w:right="108"/>
        <w:jc w:val="left"/>
        <w:rPr>
          <w:rFonts w:ascii="宋体" w:hAnsi="宋体" w:cs="宋体"/>
          <w:spacing w:val="6"/>
          <w:szCs w:val="21"/>
          <w:highlight w:val="none"/>
        </w:rPr>
      </w:pPr>
      <w:r>
        <w:rPr>
          <w:rFonts w:hint="eastAsia" w:ascii="宋体" w:hAnsi="宋体" w:cs="宋体"/>
          <w:spacing w:val="6"/>
          <w:szCs w:val="21"/>
          <w:highlight w:val="none"/>
        </w:rPr>
        <w:t>单位名称（盖章）：</w:t>
      </w:r>
    </w:p>
    <w:p>
      <w:pPr>
        <w:tabs>
          <w:tab w:val="left" w:pos="4860"/>
        </w:tabs>
        <w:spacing w:line="360" w:lineRule="auto"/>
        <w:ind w:left="6237" w:leftChars="2970" w:right="108"/>
        <w:jc w:val="left"/>
        <w:rPr>
          <w:rFonts w:hint="eastAsia" w:ascii="宋体" w:hAnsi="宋体" w:cs="宋体"/>
          <w:spacing w:val="6"/>
          <w:szCs w:val="21"/>
          <w:highlight w:val="none"/>
        </w:rPr>
      </w:pPr>
      <w:r>
        <w:rPr>
          <w:rFonts w:hint="eastAsia" w:ascii="宋体" w:hAnsi="宋体" w:cs="宋体"/>
          <w:spacing w:val="6"/>
          <w:szCs w:val="21"/>
          <w:highlight w:val="none"/>
        </w:rPr>
        <w:t>日  期：</w:t>
      </w:r>
    </w:p>
    <w:p>
      <w:pPr>
        <w:pStyle w:val="3"/>
        <w:rPr>
          <w:rFonts w:hint="eastAsia"/>
          <w:highlight w:val="none"/>
        </w:rPr>
      </w:pPr>
      <w:r>
        <w:rPr>
          <w:rFonts w:hint="eastAsia"/>
          <w:highlight w:val="none"/>
        </w:rPr>
        <w:br w:type="page"/>
      </w:r>
      <w:r>
        <w:rPr>
          <w:rFonts w:hint="eastAsia" w:ascii="宋体" w:hAnsi="宋体" w:cs="宋体"/>
          <w:highlight w:val="none"/>
        </w:rPr>
        <w:t>附</w:t>
      </w:r>
      <w:r>
        <w:rPr>
          <w:rStyle w:val="7"/>
          <w:rFonts w:hint="eastAsia" w:ascii="宋体" w:hAnsi="宋体" w:cs="宋体"/>
          <w:b/>
          <w:highlight w:val="none"/>
        </w:rPr>
        <w:t>件1：政府采购促进中小企业发展管理办法</w:t>
      </w:r>
    </w:p>
    <w:p>
      <w:pPr>
        <w:widowControl/>
        <w:spacing w:line="360" w:lineRule="auto"/>
        <w:jc w:val="left"/>
        <w:rPr>
          <w:rFonts w:hint="eastAsia" w:ascii="宋体" w:hAnsi="宋体" w:cs="宋体"/>
          <w:szCs w:val="21"/>
          <w:highlight w:val="none"/>
        </w:rPr>
      </w:pPr>
      <w:r>
        <w:rPr>
          <w:rFonts w:hint="eastAsia" w:ascii="宋体" w:hAnsi="宋体" w:cs="宋体"/>
          <w:kern w:val="0"/>
          <w:szCs w:val="21"/>
          <w:highlight w:val="none"/>
          <w:lang w:bidi="ar"/>
        </w:rPr>
        <w:t xml:space="preserve">第一条 为了发挥政府采购的政策功能，促进中小企业健康发展，根据《中华人民共和国政府采购法》、《中华人民共和国中小企业促进法》等有关法律法规，制定本办法。 </w:t>
      </w:r>
    </w:p>
    <w:p>
      <w:pPr>
        <w:widowControl/>
        <w:spacing w:line="360" w:lineRule="auto"/>
        <w:jc w:val="left"/>
        <w:rPr>
          <w:rFonts w:hint="eastAsia" w:ascii="宋体" w:hAnsi="宋体" w:cs="宋体"/>
          <w:szCs w:val="21"/>
          <w:highlight w:val="none"/>
        </w:rPr>
      </w:pPr>
      <w:r>
        <w:rPr>
          <w:rFonts w:hint="eastAsia" w:ascii="宋体" w:hAnsi="宋体" w:cs="宋体"/>
          <w:kern w:val="0"/>
          <w:szCs w:val="21"/>
          <w:highlight w:val="none"/>
          <w:lang w:bidi="ar"/>
        </w:rPr>
        <w:t xml:space="preserve">第二条 本办法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 </w:t>
      </w:r>
    </w:p>
    <w:p>
      <w:pPr>
        <w:widowControl/>
        <w:spacing w:line="360" w:lineRule="auto"/>
        <w:jc w:val="left"/>
        <w:rPr>
          <w:rFonts w:hint="eastAsia" w:ascii="宋体" w:hAnsi="宋体" w:cs="宋体"/>
          <w:szCs w:val="21"/>
          <w:highlight w:val="none"/>
        </w:rPr>
      </w:pPr>
      <w:r>
        <w:rPr>
          <w:rFonts w:hint="eastAsia" w:ascii="宋体" w:hAnsi="宋体" w:cs="宋体"/>
          <w:kern w:val="0"/>
          <w:szCs w:val="21"/>
          <w:highlight w:val="none"/>
          <w:lang w:bidi="ar"/>
        </w:rPr>
        <w:t xml:space="preserve">第三条 采购人在政府采购活动中应当通过加强采购需求管理，落实预留采购份额、价格评审优惠、优先采购等措施，提高中小企业在政府采购中的份额，支持中小企业发展。 </w:t>
      </w:r>
    </w:p>
    <w:p>
      <w:pPr>
        <w:widowControl/>
        <w:spacing w:line="360" w:lineRule="auto"/>
        <w:jc w:val="left"/>
        <w:rPr>
          <w:rFonts w:hint="eastAsia" w:ascii="宋体" w:hAnsi="宋体" w:cs="宋体"/>
          <w:szCs w:val="21"/>
          <w:highlight w:val="none"/>
        </w:rPr>
      </w:pPr>
      <w:r>
        <w:rPr>
          <w:rFonts w:hint="eastAsia" w:ascii="宋体" w:hAnsi="宋体" w:cs="宋体"/>
          <w:kern w:val="0"/>
          <w:szCs w:val="21"/>
          <w:highlight w:val="none"/>
          <w:lang w:bidi="ar"/>
        </w:rPr>
        <w:t>第四条 在政府采购活动中，供应商提供的货物、工程或者服务符合下列情形的，享受本办法规定的中小企业扶持政策：</w:t>
      </w:r>
    </w:p>
    <w:p>
      <w:pPr>
        <w:widowControl/>
        <w:spacing w:line="360" w:lineRule="auto"/>
        <w:jc w:val="left"/>
        <w:rPr>
          <w:rFonts w:hint="eastAsia" w:ascii="宋体" w:hAnsi="宋体" w:cs="宋体"/>
          <w:szCs w:val="21"/>
          <w:highlight w:val="none"/>
        </w:rPr>
      </w:pPr>
      <w:r>
        <w:rPr>
          <w:rFonts w:hint="eastAsia" w:ascii="宋体" w:hAnsi="宋体" w:cs="宋体"/>
          <w:kern w:val="0"/>
          <w:szCs w:val="21"/>
          <w:highlight w:val="none"/>
          <w:lang w:bidi="ar"/>
        </w:rPr>
        <w:t xml:space="preserve">（一）在货物采购项目中，货物由中小企业制造，即货物由中小企业生产且使用该中小企业商号或者注册商标； </w:t>
      </w:r>
    </w:p>
    <w:p>
      <w:pPr>
        <w:widowControl/>
        <w:spacing w:line="360" w:lineRule="auto"/>
        <w:jc w:val="left"/>
        <w:rPr>
          <w:rFonts w:hint="eastAsia" w:ascii="宋体" w:hAnsi="宋体" w:cs="宋体"/>
          <w:szCs w:val="21"/>
          <w:highlight w:val="none"/>
        </w:rPr>
      </w:pPr>
      <w:r>
        <w:rPr>
          <w:rFonts w:hint="eastAsia" w:ascii="宋体" w:hAnsi="宋体" w:cs="宋体"/>
          <w:kern w:val="0"/>
          <w:szCs w:val="21"/>
          <w:highlight w:val="none"/>
          <w:lang w:bidi="ar"/>
        </w:rPr>
        <w:t xml:space="preserve">（二）在工程采购项目中，工程由中小企业承建，即工程施工单位为中小企业； </w:t>
      </w:r>
    </w:p>
    <w:p>
      <w:pPr>
        <w:widowControl/>
        <w:spacing w:line="360" w:lineRule="auto"/>
        <w:jc w:val="left"/>
        <w:rPr>
          <w:rFonts w:hint="eastAsia" w:ascii="宋体" w:hAnsi="宋体" w:cs="宋体"/>
          <w:szCs w:val="21"/>
          <w:highlight w:val="none"/>
        </w:rPr>
      </w:pPr>
      <w:r>
        <w:rPr>
          <w:rFonts w:hint="eastAsia" w:ascii="宋体" w:hAnsi="宋体" w:cs="宋体"/>
          <w:kern w:val="0"/>
          <w:szCs w:val="21"/>
          <w:highlight w:val="none"/>
          <w:lang w:bidi="ar"/>
        </w:rPr>
        <w:t xml:space="preserve">（三）在服务采购项目中，服务由中小企业承接，即提供服务的人员为中小企业依照《中华人民共和国劳动合同法》订立劳动合同的从业人员。在货物采购项目中，供应商提供的货物既有中小企业制造货物，也有大型企业制造货物的，不享受本办法规定的中小企业扶持政策。以联合体形式参加政府采购活动，联合体各方均为中小企业的，联合体视同中小企业。其中，联合体各方均为小微企业的，联合体视同小微企业。 </w:t>
      </w:r>
    </w:p>
    <w:p>
      <w:pPr>
        <w:widowControl/>
        <w:spacing w:line="360" w:lineRule="auto"/>
        <w:jc w:val="left"/>
        <w:rPr>
          <w:rFonts w:hint="eastAsia" w:ascii="宋体" w:hAnsi="宋体" w:cs="宋体"/>
          <w:szCs w:val="21"/>
          <w:highlight w:val="none"/>
        </w:rPr>
      </w:pPr>
      <w:r>
        <w:rPr>
          <w:rFonts w:hint="eastAsia" w:ascii="宋体" w:hAnsi="宋体" w:cs="宋体"/>
          <w:kern w:val="0"/>
          <w:szCs w:val="21"/>
          <w:highlight w:val="none"/>
          <w:lang w:bidi="ar"/>
        </w:rPr>
        <w:t xml:space="preserve">第五条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 </w:t>
      </w:r>
    </w:p>
    <w:p>
      <w:pPr>
        <w:widowControl/>
        <w:spacing w:line="360" w:lineRule="auto"/>
        <w:jc w:val="left"/>
        <w:rPr>
          <w:rFonts w:hint="eastAsia" w:ascii="宋体" w:hAnsi="宋体" w:cs="宋体"/>
          <w:szCs w:val="21"/>
          <w:highlight w:val="none"/>
        </w:rPr>
      </w:pPr>
      <w:r>
        <w:rPr>
          <w:rFonts w:hint="eastAsia" w:ascii="宋体" w:hAnsi="宋体" w:cs="宋体"/>
          <w:kern w:val="0"/>
          <w:szCs w:val="21"/>
          <w:highlight w:val="none"/>
          <w:lang w:bidi="ar"/>
        </w:rPr>
        <w:t>第六条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符合下列情形之一的，可不专门面向中小企业预留采购份额：</w:t>
      </w:r>
    </w:p>
    <w:p>
      <w:pPr>
        <w:widowControl/>
        <w:spacing w:line="360" w:lineRule="auto"/>
        <w:jc w:val="left"/>
        <w:rPr>
          <w:rFonts w:hint="eastAsia" w:ascii="宋体" w:hAnsi="宋体" w:cs="宋体"/>
          <w:szCs w:val="21"/>
          <w:highlight w:val="none"/>
        </w:rPr>
      </w:pPr>
      <w:r>
        <w:rPr>
          <w:rFonts w:hint="eastAsia" w:ascii="宋体" w:hAnsi="宋体" w:cs="宋体"/>
          <w:kern w:val="0"/>
          <w:szCs w:val="21"/>
          <w:highlight w:val="none"/>
          <w:lang w:bidi="ar"/>
        </w:rPr>
        <w:t xml:space="preserve">（一）法律法规和国家有关政策明确规定优先或者应当面向事业单位、社会组织等非企业主体采购的； </w:t>
      </w:r>
    </w:p>
    <w:p>
      <w:pPr>
        <w:widowControl/>
        <w:spacing w:line="360" w:lineRule="auto"/>
        <w:jc w:val="left"/>
        <w:rPr>
          <w:rFonts w:hint="eastAsia" w:ascii="宋体" w:hAnsi="宋体" w:cs="宋体"/>
          <w:szCs w:val="21"/>
          <w:highlight w:val="none"/>
        </w:rPr>
      </w:pPr>
      <w:r>
        <w:rPr>
          <w:rFonts w:hint="eastAsia" w:ascii="宋体" w:hAnsi="宋体" w:cs="宋体"/>
          <w:kern w:val="0"/>
          <w:szCs w:val="21"/>
          <w:highlight w:val="none"/>
          <w:lang w:bidi="ar"/>
        </w:rPr>
        <w:t>（二）因确需使用不可替代的专利、专有技术，基础设施限制，或者提供特定公共服务等原因，只能从中小企业之外的供应商处采购的；</w:t>
      </w:r>
    </w:p>
    <w:p>
      <w:pPr>
        <w:widowControl/>
        <w:spacing w:line="360" w:lineRule="auto"/>
        <w:jc w:val="left"/>
        <w:rPr>
          <w:rFonts w:hint="eastAsia" w:ascii="宋体" w:hAnsi="宋体" w:cs="宋体"/>
          <w:szCs w:val="21"/>
          <w:highlight w:val="none"/>
        </w:rPr>
      </w:pPr>
      <w:r>
        <w:rPr>
          <w:rFonts w:hint="eastAsia" w:ascii="宋体" w:hAnsi="宋体" w:cs="宋体"/>
          <w:kern w:val="0"/>
          <w:szCs w:val="21"/>
          <w:highlight w:val="none"/>
          <w:lang w:bidi="ar"/>
        </w:rPr>
        <w:t xml:space="preserve">（三）按照本办法规定预留采购份额无法确保充分供应、充分竞争，或者存在可能影响政府采购目标实现的情形； </w:t>
      </w:r>
    </w:p>
    <w:p>
      <w:pPr>
        <w:widowControl/>
        <w:spacing w:line="360" w:lineRule="auto"/>
        <w:jc w:val="left"/>
        <w:rPr>
          <w:rFonts w:hint="eastAsia" w:ascii="宋体" w:hAnsi="宋体" w:cs="宋体"/>
          <w:szCs w:val="21"/>
          <w:highlight w:val="none"/>
        </w:rPr>
      </w:pPr>
      <w:r>
        <w:rPr>
          <w:rFonts w:hint="eastAsia" w:ascii="宋体" w:hAnsi="宋体" w:cs="宋体"/>
          <w:kern w:val="0"/>
          <w:szCs w:val="21"/>
          <w:highlight w:val="none"/>
          <w:lang w:bidi="ar"/>
        </w:rPr>
        <w:t xml:space="preserve">（四）框架协议采购项目； </w:t>
      </w:r>
    </w:p>
    <w:p>
      <w:pPr>
        <w:widowControl/>
        <w:spacing w:line="360" w:lineRule="auto"/>
        <w:jc w:val="left"/>
        <w:rPr>
          <w:rFonts w:hint="eastAsia" w:ascii="宋体" w:hAnsi="宋体" w:cs="宋体"/>
          <w:szCs w:val="21"/>
          <w:highlight w:val="none"/>
        </w:rPr>
      </w:pPr>
      <w:r>
        <w:rPr>
          <w:rFonts w:hint="eastAsia" w:ascii="宋体" w:hAnsi="宋体" w:cs="宋体"/>
          <w:kern w:val="0"/>
          <w:szCs w:val="21"/>
          <w:highlight w:val="none"/>
          <w:lang w:bidi="ar"/>
        </w:rPr>
        <w:t xml:space="preserve">（五）省级以上人民政府财政部门规定的其他情形。 除上述情形外，其他均为适宜由中小企业提供的情形。 </w:t>
      </w:r>
    </w:p>
    <w:p>
      <w:pPr>
        <w:widowControl/>
        <w:spacing w:line="360" w:lineRule="auto"/>
        <w:jc w:val="left"/>
        <w:rPr>
          <w:rFonts w:hint="eastAsia" w:ascii="宋体" w:hAnsi="宋体" w:cs="宋体"/>
          <w:szCs w:val="21"/>
          <w:highlight w:val="none"/>
        </w:rPr>
      </w:pPr>
      <w:r>
        <w:rPr>
          <w:rFonts w:hint="eastAsia" w:ascii="宋体" w:hAnsi="宋体" w:cs="宋体"/>
          <w:kern w:val="0"/>
          <w:szCs w:val="21"/>
          <w:highlight w:val="none"/>
          <w:lang w:bidi="ar"/>
        </w:rPr>
        <w:t xml:space="preserve">第七条 采购限额标准以上，200 万元以下的货物和服务采购项目、400 万元以下的工程采购项目，适宜由中小企业提供的，采购人应当专门面向中小企业采购。 </w:t>
      </w:r>
    </w:p>
    <w:p>
      <w:pPr>
        <w:widowControl/>
        <w:spacing w:line="360" w:lineRule="auto"/>
        <w:jc w:val="left"/>
        <w:rPr>
          <w:rFonts w:hint="eastAsia" w:ascii="宋体" w:hAnsi="宋体" w:cs="宋体"/>
          <w:szCs w:val="21"/>
          <w:highlight w:val="none"/>
        </w:rPr>
      </w:pPr>
      <w:r>
        <w:rPr>
          <w:rFonts w:hint="eastAsia" w:ascii="宋体" w:hAnsi="宋体" w:cs="宋体"/>
          <w:kern w:val="0"/>
          <w:szCs w:val="21"/>
          <w:highlight w:val="none"/>
          <w:lang w:bidi="ar"/>
        </w:rPr>
        <w:t xml:space="preserve">第八条 超过 200 万元的货物和服务采购项目、超过 400 万元的工程采购项目中适宜由中小企业提供的，预留该部分采购项目预算总额的 30%以上专门面向中小企业采购，其中预留给小微企业的比例不低于60%。预留份额通过下列措施进行： </w:t>
      </w:r>
    </w:p>
    <w:p>
      <w:pPr>
        <w:widowControl/>
        <w:spacing w:line="360" w:lineRule="auto"/>
        <w:jc w:val="left"/>
        <w:rPr>
          <w:rFonts w:hint="eastAsia" w:ascii="宋体" w:hAnsi="宋体" w:cs="宋体"/>
          <w:szCs w:val="21"/>
          <w:highlight w:val="none"/>
        </w:rPr>
      </w:pPr>
      <w:r>
        <w:rPr>
          <w:rFonts w:hint="eastAsia" w:ascii="宋体" w:hAnsi="宋体" w:cs="宋体"/>
          <w:kern w:val="0"/>
          <w:szCs w:val="21"/>
          <w:highlight w:val="none"/>
          <w:lang w:bidi="ar"/>
        </w:rPr>
        <w:t>（一）将采购项目整体或者设置采购包专门面向中小企业采购；</w:t>
      </w:r>
    </w:p>
    <w:p>
      <w:pPr>
        <w:widowControl/>
        <w:spacing w:line="360" w:lineRule="auto"/>
        <w:jc w:val="left"/>
        <w:rPr>
          <w:rFonts w:hint="eastAsia" w:ascii="宋体" w:hAnsi="宋体" w:cs="宋体"/>
          <w:szCs w:val="21"/>
          <w:highlight w:val="none"/>
        </w:rPr>
      </w:pPr>
      <w:r>
        <w:rPr>
          <w:rFonts w:hint="eastAsia" w:ascii="宋体" w:hAnsi="宋体" w:cs="宋体"/>
          <w:kern w:val="0"/>
          <w:szCs w:val="21"/>
          <w:highlight w:val="none"/>
          <w:lang w:bidi="ar"/>
        </w:rPr>
        <w:t xml:space="preserve">（二）要求供应商以联合体形式参加采购活动，且联合体中中小企业承担的部分达到一定比例； </w:t>
      </w:r>
    </w:p>
    <w:p>
      <w:pPr>
        <w:widowControl/>
        <w:spacing w:line="360" w:lineRule="auto"/>
        <w:jc w:val="left"/>
        <w:rPr>
          <w:rFonts w:hint="eastAsia" w:ascii="宋体" w:hAnsi="宋体" w:cs="宋体"/>
          <w:szCs w:val="21"/>
          <w:highlight w:val="none"/>
        </w:rPr>
      </w:pPr>
      <w:r>
        <w:rPr>
          <w:rFonts w:hint="eastAsia" w:ascii="宋体" w:hAnsi="宋体" w:cs="宋体"/>
          <w:kern w:val="0"/>
          <w:szCs w:val="21"/>
          <w:highlight w:val="none"/>
          <w:lang w:bidi="ar"/>
        </w:rPr>
        <w:t xml:space="preserve">（三）要求获得采购合同的供应商将采购项目中的一定比例分包给一家或者多家中小企业。组成联合体或者接受分包合同的中小企业与联合体内其他企业、分包企业之间不得存在直接控股、管理关系。 </w:t>
      </w:r>
    </w:p>
    <w:p>
      <w:pPr>
        <w:widowControl/>
        <w:spacing w:line="360" w:lineRule="auto"/>
        <w:jc w:val="left"/>
        <w:rPr>
          <w:rFonts w:hint="eastAsia" w:ascii="宋体" w:hAnsi="宋体" w:cs="宋体"/>
          <w:szCs w:val="21"/>
          <w:highlight w:val="none"/>
        </w:rPr>
      </w:pPr>
      <w:r>
        <w:rPr>
          <w:rFonts w:hint="eastAsia" w:ascii="宋体" w:hAnsi="宋体" w:cs="宋体"/>
          <w:kern w:val="0"/>
          <w:szCs w:val="21"/>
          <w:highlight w:val="none"/>
          <w:lang w:bidi="ar"/>
        </w:rPr>
        <w:t xml:space="preserve">第九条 对于经主管预算单位统筹后未预留份额专门面向中小企业采购的采购项目，以及预留份额项目中的非预留部分采购包，采购人、采购代理机构应当对符合本办法规定的小微企业报价给予 6%—10%（工程项目为 3%—5%）的扣除，用扣除后的价格参加评审。适用招标投标法的政府采购工程建设项目，采用综合评估法但未采用低价优先法计算价格分的，评标时应当在采用原报价进行评分的基础上增加其价格得分的 3%—5%作为其价格分。接受大中型企业与小微企业组成联合体或者允许大中型企业向一家或者多家小微企业分包的采购项目，对于联合协议或者分包意向协议约定小微企业的合同份额占到合同总金额 30%以上的，采购人、采购代理机构应当对联合体或者大中型企业的报价给予 2%-3%（工程项目为 1%—2%）的扣除，用扣除后的价格参加评审。适用招标投标法的政府采购工程建设项目，采用综合评估法但未采用低价优先法计算价格分的，评标时应当在采用原报价进行评分的基础上增加其价格得分的 1%—2%作为其价格分。组成联合体或者接受分包的小微企业与联合体内其他企业、分包企业之间存在直接控股、管理关系的，不享受价格扣除优惠政策。价格扣除比例或者价格分加分比例对小型企业和微型企业同等对待，不作区分。具体采购项目的价格扣除比例或者价格分加分比例，由采购人根据采购标的相关行业平均利润率、市场竞争状况等，在本办法规定的幅度内确定。 </w:t>
      </w:r>
    </w:p>
    <w:p>
      <w:pPr>
        <w:widowControl/>
        <w:spacing w:line="360" w:lineRule="auto"/>
        <w:jc w:val="left"/>
        <w:rPr>
          <w:rFonts w:hint="eastAsia" w:ascii="宋体" w:hAnsi="宋体" w:cs="宋体"/>
          <w:szCs w:val="21"/>
          <w:highlight w:val="none"/>
        </w:rPr>
      </w:pPr>
      <w:r>
        <w:rPr>
          <w:rFonts w:hint="eastAsia" w:ascii="宋体" w:hAnsi="宋体" w:cs="宋体"/>
          <w:kern w:val="0"/>
          <w:szCs w:val="21"/>
          <w:highlight w:val="none"/>
          <w:lang w:bidi="ar"/>
        </w:rPr>
        <w:t xml:space="preserve">第十条 采购人应当严格按照本办法规定和主管预算单位制定的预留采购份额具体方案开展采购活动。预留份额的采购项目或者采购包，通过发布公告方式邀请供应商后，符合资格条件的中小企业数量不足 3 家的，应当中止采购活动，视同未预留份额的采购项目或者采购包，按照本办法第九条有关规定重新组织采购活动。 </w:t>
      </w:r>
    </w:p>
    <w:p>
      <w:pPr>
        <w:widowControl/>
        <w:spacing w:line="360" w:lineRule="auto"/>
        <w:jc w:val="left"/>
        <w:rPr>
          <w:rFonts w:hint="eastAsia" w:ascii="宋体" w:hAnsi="宋体" w:cs="宋体"/>
          <w:szCs w:val="21"/>
          <w:highlight w:val="none"/>
        </w:rPr>
      </w:pPr>
      <w:r>
        <w:rPr>
          <w:rFonts w:hint="eastAsia" w:ascii="宋体" w:hAnsi="宋体" w:cs="宋体"/>
          <w:kern w:val="0"/>
          <w:szCs w:val="21"/>
          <w:highlight w:val="none"/>
          <w:lang w:bidi="ar"/>
        </w:rPr>
        <w:t xml:space="preserve">第十一条 中小企业参加政府采购活动，应当出具本办法规定的《中小企业声明函》（附 1），否则不得享受相关中小企业扶持政策。任何单位和个人不得要求供应商提供《中小企业声明函》之外的中小企业身份证明文件。 </w:t>
      </w:r>
    </w:p>
    <w:p>
      <w:pPr>
        <w:widowControl/>
        <w:spacing w:line="360" w:lineRule="auto"/>
        <w:jc w:val="left"/>
        <w:rPr>
          <w:rFonts w:hint="eastAsia" w:ascii="宋体" w:hAnsi="宋体" w:cs="宋体"/>
          <w:szCs w:val="21"/>
          <w:highlight w:val="none"/>
        </w:rPr>
      </w:pPr>
      <w:r>
        <w:rPr>
          <w:rFonts w:hint="eastAsia" w:ascii="宋体" w:hAnsi="宋体" w:cs="宋体"/>
          <w:kern w:val="0"/>
          <w:szCs w:val="21"/>
          <w:highlight w:val="none"/>
          <w:lang w:bidi="ar"/>
        </w:rPr>
        <w:t xml:space="preserve">第十二条 采购项目涉及中小企业采购的，采购文件应当明确以下内容： </w:t>
      </w:r>
    </w:p>
    <w:p>
      <w:pPr>
        <w:widowControl/>
        <w:spacing w:line="360" w:lineRule="auto"/>
        <w:jc w:val="left"/>
        <w:rPr>
          <w:rFonts w:hint="eastAsia" w:ascii="宋体" w:hAnsi="宋体" w:cs="宋体"/>
          <w:szCs w:val="21"/>
          <w:highlight w:val="none"/>
        </w:rPr>
      </w:pPr>
      <w:r>
        <w:rPr>
          <w:rFonts w:hint="eastAsia" w:ascii="宋体" w:hAnsi="宋体" w:cs="宋体"/>
          <w:kern w:val="0"/>
          <w:szCs w:val="21"/>
          <w:highlight w:val="none"/>
          <w:lang w:bidi="ar"/>
        </w:rPr>
        <w:t xml:space="preserve">（一）预留份额的采购项目或者采购包，明确该项目或相关采购包专门面向中小企业采购，以及相关标的及预算金额； </w:t>
      </w:r>
    </w:p>
    <w:p>
      <w:pPr>
        <w:widowControl/>
        <w:spacing w:line="360" w:lineRule="auto"/>
        <w:jc w:val="left"/>
        <w:rPr>
          <w:rFonts w:hint="eastAsia" w:ascii="宋体" w:hAnsi="宋体" w:cs="宋体"/>
          <w:szCs w:val="21"/>
          <w:highlight w:val="none"/>
        </w:rPr>
      </w:pPr>
      <w:r>
        <w:rPr>
          <w:rFonts w:hint="eastAsia" w:ascii="宋体" w:hAnsi="宋体" w:cs="宋体"/>
          <w:kern w:val="0"/>
          <w:szCs w:val="21"/>
          <w:highlight w:val="none"/>
          <w:lang w:bidi="ar"/>
        </w:rPr>
        <w:t xml:space="preserve">（二）要求以联合体形式参加或者合同分包的，明确联合协议或者分包意向协议中中小企业合同金额应当达到的比例，并作为供应商资格条件； </w:t>
      </w:r>
    </w:p>
    <w:p>
      <w:pPr>
        <w:widowControl/>
        <w:spacing w:line="360" w:lineRule="auto"/>
        <w:jc w:val="left"/>
        <w:rPr>
          <w:rFonts w:hint="eastAsia" w:ascii="宋体" w:hAnsi="宋体" w:cs="宋体"/>
          <w:szCs w:val="21"/>
          <w:highlight w:val="none"/>
        </w:rPr>
      </w:pPr>
      <w:r>
        <w:rPr>
          <w:rFonts w:hint="eastAsia" w:ascii="宋体" w:hAnsi="宋体" w:cs="宋体"/>
          <w:kern w:val="0"/>
          <w:szCs w:val="21"/>
          <w:highlight w:val="none"/>
          <w:lang w:bidi="ar"/>
        </w:rPr>
        <w:t xml:space="preserve">（三）非预留份额的采购项目或者采购包，明确有关价格扣除比例或者价格分加分比例； </w:t>
      </w:r>
    </w:p>
    <w:p>
      <w:pPr>
        <w:widowControl/>
        <w:spacing w:line="360" w:lineRule="auto"/>
        <w:jc w:val="left"/>
        <w:rPr>
          <w:rFonts w:hint="eastAsia" w:ascii="宋体" w:hAnsi="宋体" w:cs="宋体"/>
          <w:szCs w:val="21"/>
          <w:highlight w:val="none"/>
        </w:rPr>
      </w:pPr>
      <w:r>
        <w:rPr>
          <w:rFonts w:hint="eastAsia" w:ascii="宋体" w:hAnsi="宋体" w:cs="宋体"/>
          <w:kern w:val="0"/>
          <w:szCs w:val="21"/>
          <w:highlight w:val="none"/>
          <w:lang w:bidi="ar"/>
        </w:rPr>
        <w:t xml:space="preserve">（四）规定依据本办法规定享受扶持政策获得政府采购合同的，小微企业不得将合同分包给大中型企业，中型企业不得将合同分包给大型企业； </w:t>
      </w:r>
    </w:p>
    <w:p>
      <w:pPr>
        <w:widowControl/>
        <w:spacing w:line="360" w:lineRule="auto"/>
        <w:jc w:val="left"/>
        <w:rPr>
          <w:rFonts w:hint="eastAsia" w:ascii="宋体" w:hAnsi="宋体" w:cs="宋体"/>
          <w:szCs w:val="21"/>
          <w:highlight w:val="none"/>
        </w:rPr>
      </w:pPr>
      <w:r>
        <w:rPr>
          <w:rFonts w:hint="eastAsia" w:ascii="宋体" w:hAnsi="宋体" w:cs="宋体"/>
          <w:kern w:val="0"/>
          <w:szCs w:val="21"/>
          <w:highlight w:val="none"/>
          <w:lang w:bidi="ar"/>
        </w:rPr>
        <w:t xml:space="preserve">（五）采购人认为具备相关条件的，明确对中小企业在资金支付期限、预付款比例等方面的优惠措施； </w:t>
      </w:r>
    </w:p>
    <w:p>
      <w:pPr>
        <w:widowControl/>
        <w:spacing w:line="360" w:lineRule="auto"/>
        <w:jc w:val="left"/>
        <w:rPr>
          <w:rFonts w:hint="eastAsia" w:ascii="宋体" w:hAnsi="宋体" w:cs="宋体"/>
          <w:szCs w:val="21"/>
          <w:highlight w:val="none"/>
        </w:rPr>
      </w:pPr>
      <w:r>
        <w:rPr>
          <w:rFonts w:hint="eastAsia" w:ascii="宋体" w:hAnsi="宋体" w:cs="宋体"/>
          <w:kern w:val="0"/>
          <w:szCs w:val="21"/>
          <w:highlight w:val="none"/>
          <w:lang w:bidi="ar"/>
        </w:rPr>
        <w:t xml:space="preserve">（六）明确采购标的对应的中小企业划分标准所属行业； </w:t>
      </w:r>
    </w:p>
    <w:p>
      <w:pPr>
        <w:widowControl/>
        <w:spacing w:line="360" w:lineRule="auto"/>
        <w:jc w:val="left"/>
        <w:rPr>
          <w:rFonts w:hint="eastAsia" w:ascii="宋体" w:hAnsi="宋体" w:cs="宋体"/>
          <w:szCs w:val="21"/>
          <w:highlight w:val="none"/>
        </w:rPr>
      </w:pPr>
      <w:r>
        <w:rPr>
          <w:rFonts w:hint="eastAsia" w:ascii="宋体" w:hAnsi="宋体" w:cs="宋体"/>
          <w:kern w:val="0"/>
          <w:szCs w:val="21"/>
          <w:highlight w:val="none"/>
          <w:lang w:bidi="ar"/>
        </w:rPr>
        <w:t>（七）法律法规和省级以上人民政府财政部门规定的其他事项。</w:t>
      </w:r>
    </w:p>
    <w:p>
      <w:pPr>
        <w:widowControl/>
        <w:spacing w:line="360" w:lineRule="auto"/>
        <w:jc w:val="left"/>
        <w:rPr>
          <w:rFonts w:hint="eastAsia" w:ascii="宋体" w:hAnsi="宋体" w:cs="宋体"/>
          <w:szCs w:val="21"/>
          <w:highlight w:val="none"/>
        </w:rPr>
      </w:pPr>
      <w:r>
        <w:rPr>
          <w:rFonts w:hint="eastAsia" w:ascii="宋体" w:hAnsi="宋体" w:cs="宋体"/>
          <w:kern w:val="0"/>
          <w:szCs w:val="21"/>
          <w:highlight w:val="none"/>
          <w:lang w:bidi="ar"/>
        </w:rPr>
        <w:t xml:space="preserve">第十三条 中标、成交供应商享受本办法规定的中小企业扶持政策的，采购人、采购代理机构应当随中标、成交结果公开中标、成交供应商的《中小企业声明函》。 适用招标投标法的政府采购工程建设项目，应当在公示中标候选人时公开中标候选人的《中小企业声明函》。 </w:t>
      </w:r>
    </w:p>
    <w:p>
      <w:pPr>
        <w:widowControl/>
        <w:spacing w:line="360" w:lineRule="auto"/>
        <w:jc w:val="left"/>
        <w:rPr>
          <w:rFonts w:hint="eastAsia" w:ascii="宋体" w:hAnsi="宋体" w:cs="宋体"/>
          <w:szCs w:val="21"/>
          <w:highlight w:val="none"/>
        </w:rPr>
      </w:pPr>
      <w:r>
        <w:rPr>
          <w:rFonts w:hint="eastAsia" w:ascii="宋体" w:hAnsi="宋体" w:cs="宋体"/>
          <w:kern w:val="0"/>
          <w:szCs w:val="21"/>
          <w:highlight w:val="none"/>
          <w:lang w:bidi="ar"/>
        </w:rPr>
        <w:t xml:space="preserve">第十四条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 </w:t>
      </w:r>
    </w:p>
    <w:p>
      <w:pPr>
        <w:widowControl/>
        <w:spacing w:line="360" w:lineRule="auto"/>
        <w:jc w:val="left"/>
        <w:rPr>
          <w:rFonts w:hint="eastAsia" w:ascii="宋体" w:hAnsi="宋体" w:cs="宋体"/>
          <w:szCs w:val="21"/>
          <w:highlight w:val="none"/>
        </w:rPr>
      </w:pPr>
      <w:r>
        <w:rPr>
          <w:rFonts w:hint="eastAsia" w:ascii="宋体" w:hAnsi="宋体" w:cs="宋体"/>
          <w:kern w:val="0"/>
          <w:szCs w:val="21"/>
          <w:highlight w:val="none"/>
          <w:lang w:bidi="ar"/>
        </w:rPr>
        <w:t xml:space="preserve">第十五条 鼓励各地区、各部门在采购活动中允许中小企业引入信用担保手段，为中小企业在投标（响应）保证、履约保证等方面提供专业化服务。鼓励中小企业依法合规通过政府采购合同融资。 </w:t>
      </w:r>
    </w:p>
    <w:p>
      <w:pPr>
        <w:widowControl/>
        <w:spacing w:line="360" w:lineRule="auto"/>
        <w:jc w:val="left"/>
        <w:rPr>
          <w:rFonts w:hint="eastAsia" w:ascii="宋体" w:hAnsi="宋体" w:cs="宋体"/>
          <w:szCs w:val="21"/>
          <w:highlight w:val="none"/>
        </w:rPr>
      </w:pPr>
      <w:r>
        <w:rPr>
          <w:rFonts w:hint="eastAsia" w:ascii="宋体" w:hAnsi="宋体" w:cs="宋体"/>
          <w:kern w:val="0"/>
          <w:szCs w:val="21"/>
          <w:highlight w:val="none"/>
          <w:lang w:bidi="ar"/>
        </w:rPr>
        <w:t xml:space="preserve">第十六条 政府采购监督检查、投诉处理及政府采购行政处罚中对中小企业的认定，由货物制造商或者工程、服务供应商注册登记所在地的县级以上人民政府中小企业主管部门负责。中小企业主管部门应当在收到财政部门或者有关招标投标行政监督部门关于协助开展中小企业认定函后 10 个工作日内做出书面答复。 </w:t>
      </w:r>
    </w:p>
    <w:p>
      <w:pPr>
        <w:widowControl/>
        <w:spacing w:line="360" w:lineRule="auto"/>
        <w:jc w:val="left"/>
        <w:rPr>
          <w:rFonts w:hint="eastAsia" w:ascii="宋体" w:hAnsi="宋体" w:cs="宋体"/>
          <w:szCs w:val="21"/>
          <w:highlight w:val="none"/>
        </w:rPr>
      </w:pPr>
      <w:r>
        <w:rPr>
          <w:rFonts w:hint="eastAsia" w:ascii="宋体" w:hAnsi="宋体" w:cs="宋体"/>
          <w:kern w:val="0"/>
          <w:szCs w:val="21"/>
          <w:highlight w:val="none"/>
          <w:lang w:bidi="ar"/>
        </w:rPr>
        <w:t xml:space="preserve">第十七条 各地区、各部门应当对涉及中小企业采购的预算项目实施全过程绩效管理，合理设置绩效目标和指标，落实扶持中小企业有关政策要求，定期开展绩效监控和评价，强化绩效评价结果应用。 </w:t>
      </w:r>
    </w:p>
    <w:p>
      <w:pPr>
        <w:widowControl/>
        <w:spacing w:line="360" w:lineRule="auto"/>
        <w:jc w:val="left"/>
        <w:rPr>
          <w:rFonts w:hint="eastAsia" w:ascii="宋体" w:hAnsi="宋体" w:cs="宋体"/>
          <w:kern w:val="0"/>
          <w:szCs w:val="21"/>
          <w:highlight w:val="none"/>
          <w:lang w:bidi="ar"/>
        </w:rPr>
      </w:pPr>
      <w:r>
        <w:rPr>
          <w:rFonts w:hint="eastAsia" w:ascii="宋体" w:hAnsi="宋体" w:cs="宋体"/>
          <w:kern w:val="0"/>
          <w:szCs w:val="21"/>
          <w:highlight w:val="none"/>
          <w:lang w:bidi="ar"/>
        </w:rPr>
        <w:t>第十八条 主管预算单位应当自 2022 年起向同级财政部门报告本部门上一年度面向中小企业预留份额和采购的具体情况，并在中国政府采购网公开预留项目执行情况(附2)。未达到本办法规定的预留份额比例的，应当作出说明。</w:t>
      </w:r>
    </w:p>
    <w:p>
      <w:pPr>
        <w:widowControl/>
        <w:spacing w:line="360" w:lineRule="auto"/>
        <w:jc w:val="left"/>
        <w:rPr>
          <w:rFonts w:hint="eastAsia" w:ascii="宋体" w:hAnsi="宋体" w:cs="宋体"/>
          <w:szCs w:val="21"/>
          <w:highlight w:val="none"/>
        </w:rPr>
      </w:pPr>
      <w:r>
        <w:rPr>
          <w:rFonts w:hint="eastAsia" w:ascii="宋体" w:hAnsi="宋体" w:cs="宋体"/>
          <w:kern w:val="0"/>
          <w:szCs w:val="21"/>
          <w:highlight w:val="none"/>
          <w:lang w:bidi="ar"/>
        </w:rPr>
        <w:t xml:space="preserve">第十九条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 </w:t>
      </w:r>
    </w:p>
    <w:p>
      <w:pPr>
        <w:widowControl/>
        <w:spacing w:line="360" w:lineRule="auto"/>
        <w:jc w:val="left"/>
        <w:rPr>
          <w:rFonts w:hint="eastAsia" w:ascii="宋体" w:hAnsi="宋体" w:cs="宋体"/>
          <w:szCs w:val="21"/>
          <w:highlight w:val="none"/>
        </w:rPr>
      </w:pPr>
      <w:r>
        <w:rPr>
          <w:rFonts w:hint="eastAsia" w:ascii="宋体" w:hAnsi="宋体" w:cs="宋体"/>
          <w:kern w:val="0"/>
          <w:szCs w:val="21"/>
          <w:highlight w:val="none"/>
          <w:lang w:bidi="ar"/>
        </w:rPr>
        <w:t>第二十条 供应商按照本办法规定提供声明函内容不实的，属于提供虚假材料谋取中标、成交，依照《中华人民共和国政府采购法》等国家有关规定追究相应责任。适用招标投标法的政府采购工程建设项目，投标人按照本办法规定提供声明函内容不实的，属于弄虚作假骗取中标，依照《中华人民共和国招标投标法》等国家有关规定追究相应责任。</w:t>
      </w:r>
    </w:p>
    <w:p>
      <w:pPr>
        <w:widowControl/>
        <w:spacing w:line="360" w:lineRule="auto"/>
        <w:jc w:val="left"/>
        <w:rPr>
          <w:rFonts w:hint="eastAsia" w:ascii="宋体" w:hAnsi="宋体" w:cs="宋体"/>
          <w:szCs w:val="21"/>
          <w:highlight w:val="none"/>
        </w:rPr>
      </w:pPr>
      <w:r>
        <w:rPr>
          <w:rFonts w:hint="eastAsia" w:ascii="宋体" w:hAnsi="宋体" w:cs="宋体"/>
          <w:kern w:val="0"/>
          <w:szCs w:val="21"/>
          <w:highlight w:val="none"/>
          <w:lang w:bidi="ar"/>
        </w:rPr>
        <w:t>第二十一条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widowControl/>
        <w:spacing w:line="360" w:lineRule="auto"/>
        <w:jc w:val="left"/>
        <w:rPr>
          <w:rFonts w:hint="eastAsia" w:ascii="宋体" w:hAnsi="宋体" w:cs="宋体"/>
          <w:szCs w:val="21"/>
          <w:highlight w:val="none"/>
        </w:rPr>
      </w:pPr>
      <w:r>
        <w:rPr>
          <w:rFonts w:hint="eastAsia" w:ascii="宋体" w:hAnsi="宋体" w:cs="宋体"/>
          <w:kern w:val="0"/>
          <w:szCs w:val="21"/>
          <w:highlight w:val="none"/>
          <w:lang w:bidi="ar"/>
        </w:rPr>
        <w:t xml:space="preserve">第二十二条 对外援助项目、国家相关资格或者资质管理制度另有规定的项目，不适用本办法。 </w:t>
      </w:r>
    </w:p>
    <w:p>
      <w:pPr>
        <w:widowControl/>
        <w:spacing w:line="360" w:lineRule="auto"/>
        <w:jc w:val="left"/>
        <w:rPr>
          <w:rFonts w:hint="eastAsia" w:ascii="宋体" w:hAnsi="宋体" w:cs="宋体"/>
          <w:szCs w:val="21"/>
          <w:highlight w:val="none"/>
        </w:rPr>
      </w:pPr>
      <w:r>
        <w:rPr>
          <w:rFonts w:hint="eastAsia" w:ascii="宋体" w:hAnsi="宋体" w:cs="宋体"/>
          <w:kern w:val="0"/>
          <w:szCs w:val="21"/>
          <w:highlight w:val="none"/>
          <w:lang w:bidi="ar"/>
        </w:rPr>
        <w:t xml:space="preserve">第二十三条 关于视同中小企业的其他主体的政府采购扶持政策，由财政部会同有关部门另行规定。 </w:t>
      </w:r>
    </w:p>
    <w:p>
      <w:pPr>
        <w:widowControl/>
        <w:spacing w:line="360" w:lineRule="auto"/>
        <w:jc w:val="left"/>
        <w:rPr>
          <w:rFonts w:hint="eastAsia" w:ascii="宋体" w:hAnsi="宋体" w:cs="宋体"/>
          <w:szCs w:val="21"/>
          <w:highlight w:val="none"/>
        </w:rPr>
      </w:pPr>
      <w:r>
        <w:rPr>
          <w:rFonts w:hint="eastAsia" w:ascii="宋体" w:hAnsi="宋体" w:cs="宋体"/>
          <w:kern w:val="0"/>
          <w:szCs w:val="21"/>
          <w:highlight w:val="none"/>
          <w:lang w:bidi="ar"/>
        </w:rPr>
        <w:t xml:space="preserve">第二十四条 省级财政部门可以会同中小企业主管部门根据本办法的规定制定具体实施办法。 </w:t>
      </w:r>
    </w:p>
    <w:p>
      <w:pPr>
        <w:widowControl/>
        <w:spacing w:line="360" w:lineRule="auto"/>
        <w:jc w:val="left"/>
        <w:rPr>
          <w:rFonts w:hint="eastAsia" w:ascii="宋体" w:hAnsi="宋体" w:cs="宋体"/>
          <w:szCs w:val="21"/>
          <w:highlight w:val="none"/>
        </w:rPr>
      </w:pPr>
      <w:r>
        <w:rPr>
          <w:rFonts w:hint="eastAsia" w:ascii="宋体" w:hAnsi="宋体" w:cs="宋体"/>
          <w:kern w:val="0"/>
          <w:szCs w:val="21"/>
          <w:highlight w:val="none"/>
          <w:lang w:bidi="ar"/>
        </w:rPr>
        <w:t xml:space="preserve">第二十五条 本办法自 2021 年 1 月 1 日起施行。《财政部 工业和信息化部关于印发〈政府采购促进中小企业发展暂行办法〉的通知》（财库﹝2011﹞181 号）同时废止。 </w:t>
      </w:r>
    </w:p>
    <w:p>
      <w:pPr>
        <w:pStyle w:val="3"/>
        <w:rPr>
          <w:rFonts w:hint="eastAsia" w:ascii="宋体" w:hAnsi="宋体" w:cs="宋体"/>
          <w:highlight w:val="none"/>
          <w:lang w:val="en-US"/>
        </w:rPr>
      </w:pPr>
      <w:r>
        <w:rPr>
          <w:rFonts w:hint="eastAsia" w:ascii="宋体" w:hAnsi="宋体" w:cs="宋体"/>
          <w:highlight w:val="none"/>
        </w:rPr>
        <w:br w:type="page"/>
      </w:r>
      <w:r>
        <w:rPr>
          <w:rFonts w:hint="eastAsia" w:ascii="宋体" w:hAnsi="宋体" w:cs="宋体"/>
          <w:highlight w:val="none"/>
        </w:rPr>
        <w:t>附件</w:t>
      </w:r>
      <w:r>
        <w:rPr>
          <w:rFonts w:hint="eastAsia" w:ascii="宋体" w:hAnsi="宋体" w:cs="宋体"/>
          <w:highlight w:val="none"/>
          <w:lang w:val="en-US"/>
        </w:rPr>
        <w:t>2：工信部联企业[2011]300号</w:t>
      </w:r>
    </w:p>
    <w:p>
      <w:pPr>
        <w:adjustRightInd w:val="0"/>
        <w:snapToGrid w:val="0"/>
        <w:spacing w:line="360" w:lineRule="auto"/>
        <w:ind w:firstLine="444" w:firstLineChars="200"/>
        <w:rPr>
          <w:rFonts w:hint="eastAsia" w:ascii="宋体" w:hAnsi="宋体" w:cs="宋体"/>
          <w:spacing w:val="6"/>
          <w:szCs w:val="21"/>
          <w:highlight w:val="none"/>
        </w:rPr>
      </w:pPr>
      <w:r>
        <w:rPr>
          <w:rFonts w:hint="eastAsia" w:ascii="宋体" w:hAnsi="宋体" w:cs="宋体"/>
          <w:spacing w:val="6"/>
          <w:szCs w:val="21"/>
          <w:highlight w:val="none"/>
        </w:rPr>
        <w:t>各省、自治区、直辖市人民政府，国务院各部委及有关单位：</w:t>
      </w:r>
    </w:p>
    <w:p>
      <w:pPr>
        <w:adjustRightInd w:val="0"/>
        <w:snapToGrid w:val="0"/>
        <w:spacing w:line="360" w:lineRule="auto"/>
        <w:ind w:firstLine="444" w:firstLineChars="200"/>
        <w:rPr>
          <w:rFonts w:hint="eastAsia" w:ascii="宋体" w:hAnsi="宋体" w:cs="宋体"/>
          <w:spacing w:val="6"/>
          <w:szCs w:val="21"/>
          <w:highlight w:val="none"/>
        </w:rPr>
      </w:pPr>
      <w:r>
        <w:rPr>
          <w:rFonts w:hint="eastAsia" w:ascii="宋体" w:hAnsi="宋体" w:cs="宋体"/>
          <w:spacing w:val="6"/>
          <w:szCs w:val="21"/>
          <w:highlight w:val="none"/>
        </w:rPr>
        <w:t>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adjustRightInd w:val="0"/>
        <w:snapToGrid w:val="0"/>
        <w:spacing w:line="360" w:lineRule="auto"/>
        <w:ind w:firstLine="444" w:firstLineChars="200"/>
        <w:jc w:val="right"/>
        <w:rPr>
          <w:rFonts w:hint="eastAsia" w:ascii="宋体" w:hAnsi="宋体" w:cs="宋体"/>
          <w:spacing w:val="6"/>
          <w:szCs w:val="21"/>
          <w:highlight w:val="none"/>
        </w:rPr>
      </w:pPr>
      <w:r>
        <w:rPr>
          <w:rFonts w:hint="eastAsia" w:ascii="宋体" w:hAnsi="宋体" w:cs="宋体"/>
          <w:spacing w:val="6"/>
          <w:szCs w:val="21"/>
          <w:highlight w:val="none"/>
        </w:rPr>
        <w:t>工业和信息化部 国家统计局</w:t>
      </w:r>
    </w:p>
    <w:p>
      <w:pPr>
        <w:adjustRightInd w:val="0"/>
        <w:snapToGrid w:val="0"/>
        <w:spacing w:line="360" w:lineRule="auto"/>
        <w:ind w:firstLine="444" w:firstLineChars="200"/>
        <w:jc w:val="right"/>
        <w:rPr>
          <w:rFonts w:hint="eastAsia" w:ascii="宋体" w:hAnsi="宋体" w:cs="宋体"/>
          <w:spacing w:val="6"/>
          <w:szCs w:val="21"/>
          <w:highlight w:val="none"/>
        </w:rPr>
      </w:pPr>
      <w:r>
        <w:rPr>
          <w:rFonts w:hint="eastAsia" w:ascii="宋体" w:hAnsi="宋体" w:cs="宋体"/>
          <w:spacing w:val="6"/>
          <w:szCs w:val="21"/>
          <w:highlight w:val="none"/>
        </w:rPr>
        <w:t>国家发展和改革委员会 财政部</w:t>
      </w:r>
    </w:p>
    <w:p>
      <w:pPr>
        <w:adjustRightInd w:val="0"/>
        <w:snapToGrid w:val="0"/>
        <w:spacing w:line="360" w:lineRule="auto"/>
        <w:ind w:firstLine="444" w:firstLineChars="200"/>
        <w:jc w:val="right"/>
        <w:rPr>
          <w:rFonts w:hint="eastAsia" w:ascii="宋体" w:hAnsi="宋体" w:cs="宋体"/>
          <w:spacing w:val="6"/>
          <w:szCs w:val="21"/>
          <w:highlight w:val="none"/>
        </w:rPr>
      </w:pPr>
      <w:r>
        <w:rPr>
          <w:rFonts w:hint="eastAsia" w:ascii="宋体" w:hAnsi="宋体" w:cs="宋体"/>
          <w:spacing w:val="6"/>
          <w:szCs w:val="21"/>
          <w:highlight w:val="none"/>
        </w:rPr>
        <w:t>二〇一一年六月十八日</w:t>
      </w:r>
    </w:p>
    <w:p>
      <w:pPr>
        <w:adjustRightInd w:val="0"/>
        <w:snapToGrid w:val="0"/>
        <w:spacing w:line="360" w:lineRule="auto"/>
        <w:ind w:firstLine="223" w:firstLineChars="100"/>
        <w:jc w:val="center"/>
        <w:rPr>
          <w:rFonts w:hint="eastAsia" w:ascii="宋体" w:hAnsi="宋体" w:cs="宋体"/>
          <w:b/>
          <w:bCs/>
          <w:spacing w:val="6"/>
          <w:szCs w:val="21"/>
          <w:highlight w:val="none"/>
        </w:rPr>
      </w:pPr>
      <w:r>
        <w:rPr>
          <w:rFonts w:hint="eastAsia" w:ascii="宋体" w:hAnsi="宋体" w:cs="宋体"/>
          <w:b/>
          <w:bCs/>
          <w:spacing w:val="6"/>
          <w:szCs w:val="21"/>
          <w:highlight w:val="none"/>
        </w:rPr>
        <w:t>中小企业划型标准规定：</w:t>
      </w:r>
    </w:p>
    <w:p>
      <w:pPr>
        <w:adjustRightInd w:val="0"/>
        <w:snapToGrid w:val="0"/>
        <w:spacing w:line="360" w:lineRule="auto"/>
        <w:ind w:firstLine="444" w:firstLineChars="200"/>
        <w:rPr>
          <w:rFonts w:hint="eastAsia" w:ascii="宋体" w:hAnsi="宋体" w:cs="宋体"/>
          <w:spacing w:val="6"/>
          <w:szCs w:val="21"/>
          <w:highlight w:val="none"/>
        </w:rPr>
      </w:pPr>
      <w:r>
        <w:rPr>
          <w:rFonts w:hint="eastAsia" w:ascii="宋体" w:hAnsi="宋体" w:cs="宋体"/>
          <w:spacing w:val="6"/>
          <w:szCs w:val="21"/>
          <w:highlight w:val="none"/>
        </w:rPr>
        <w:t>一、根据《中华人民共和国中小企业促进法》和《国务院关于进一步促进中小企业发展的若干意见》(国发〔2009〕36号)，制定本规定。</w:t>
      </w:r>
    </w:p>
    <w:p>
      <w:pPr>
        <w:adjustRightInd w:val="0"/>
        <w:snapToGrid w:val="0"/>
        <w:spacing w:line="360" w:lineRule="auto"/>
        <w:ind w:firstLine="444" w:firstLineChars="200"/>
        <w:rPr>
          <w:rFonts w:hint="eastAsia" w:ascii="宋体" w:hAnsi="宋体" w:cs="宋体"/>
          <w:spacing w:val="6"/>
          <w:szCs w:val="21"/>
          <w:highlight w:val="none"/>
        </w:rPr>
      </w:pPr>
      <w:r>
        <w:rPr>
          <w:rFonts w:hint="eastAsia" w:ascii="宋体" w:hAnsi="宋体" w:cs="宋体"/>
          <w:spacing w:val="6"/>
          <w:szCs w:val="21"/>
          <w:highlight w:val="none"/>
        </w:rPr>
        <w:t>二、中小企业划分为中型、小型、微型三种类型，具体标准根据企业从业人员、营业收入、资产总额等指标，结合行业特点制定。</w:t>
      </w:r>
    </w:p>
    <w:p>
      <w:pPr>
        <w:adjustRightInd w:val="0"/>
        <w:snapToGrid w:val="0"/>
        <w:spacing w:line="360" w:lineRule="auto"/>
        <w:ind w:firstLine="444" w:firstLineChars="200"/>
        <w:rPr>
          <w:rFonts w:hint="eastAsia" w:ascii="宋体" w:hAnsi="宋体" w:cs="宋体"/>
          <w:spacing w:val="6"/>
          <w:szCs w:val="21"/>
          <w:highlight w:val="none"/>
        </w:rPr>
      </w:pPr>
      <w:r>
        <w:rPr>
          <w:rFonts w:hint="eastAsia" w:ascii="宋体" w:hAnsi="宋体" w:cs="宋体"/>
          <w:spacing w:val="6"/>
          <w:szCs w:val="21"/>
          <w:highlight w:val="none"/>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adjustRightInd w:val="0"/>
        <w:snapToGrid w:val="0"/>
        <w:spacing w:line="360" w:lineRule="auto"/>
        <w:ind w:firstLine="444" w:firstLineChars="200"/>
        <w:rPr>
          <w:rFonts w:hint="eastAsia" w:ascii="宋体" w:hAnsi="宋体" w:cs="宋体"/>
          <w:spacing w:val="6"/>
          <w:szCs w:val="21"/>
          <w:highlight w:val="none"/>
        </w:rPr>
      </w:pPr>
      <w:r>
        <w:rPr>
          <w:rFonts w:hint="eastAsia" w:ascii="宋体" w:hAnsi="宋体" w:cs="宋体"/>
          <w:spacing w:val="6"/>
          <w:szCs w:val="21"/>
          <w:highlight w:val="none"/>
        </w:rPr>
        <w:t>四、各行业划型标准为：</w:t>
      </w:r>
    </w:p>
    <w:p>
      <w:pPr>
        <w:adjustRightInd w:val="0"/>
        <w:snapToGrid w:val="0"/>
        <w:spacing w:line="360" w:lineRule="auto"/>
        <w:ind w:firstLine="444" w:firstLineChars="200"/>
        <w:rPr>
          <w:rFonts w:hint="eastAsia" w:ascii="宋体" w:hAnsi="宋体" w:cs="宋体"/>
          <w:spacing w:val="6"/>
          <w:szCs w:val="21"/>
          <w:highlight w:val="none"/>
        </w:rPr>
      </w:pPr>
      <w:r>
        <w:rPr>
          <w:rFonts w:hint="eastAsia" w:ascii="宋体" w:hAnsi="宋体" w:cs="宋体"/>
          <w:spacing w:val="6"/>
          <w:szCs w:val="21"/>
          <w:highlight w:val="none"/>
        </w:rPr>
        <w:t>（一）农、林、牧、渔业。营业收入20000万元以下的为中小微型企业。其中，营业收入500万元及以上的为中型企业，营业收入50万元及以上的为小型企业，营业收入50万元以下的为微型企业。</w:t>
      </w:r>
    </w:p>
    <w:p>
      <w:pPr>
        <w:adjustRightInd w:val="0"/>
        <w:snapToGrid w:val="0"/>
        <w:spacing w:line="360" w:lineRule="auto"/>
        <w:ind w:firstLine="444" w:firstLineChars="200"/>
        <w:rPr>
          <w:rFonts w:hint="eastAsia" w:ascii="宋体" w:hAnsi="宋体" w:cs="宋体"/>
          <w:spacing w:val="6"/>
          <w:szCs w:val="21"/>
          <w:highlight w:val="none"/>
        </w:rPr>
      </w:pPr>
      <w:r>
        <w:rPr>
          <w:rFonts w:hint="eastAsia" w:ascii="宋体" w:hAnsi="宋体" w:cs="宋体"/>
          <w:spacing w:val="6"/>
          <w:szCs w:val="21"/>
          <w:highlight w:val="none"/>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adjustRightInd w:val="0"/>
        <w:snapToGrid w:val="0"/>
        <w:spacing w:line="360" w:lineRule="auto"/>
        <w:ind w:firstLine="444" w:firstLineChars="200"/>
        <w:rPr>
          <w:rFonts w:hint="eastAsia" w:ascii="宋体" w:hAnsi="宋体" w:cs="宋体"/>
          <w:spacing w:val="6"/>
          <w:szCs w:val="21"/>
          <w:highlight w:val="none"/>
        </w:rPr>
      </w:pPr>
      <w:r>
        <w:rPr>
          <w:rFonts w:hint="eastAsia" w:ascii="宋体" w:hAnsi="宋体" w:cs="宋体"/>
          <w:spacing w:val="6"/>
          <w:szCs w:val="21"/>
          <w:highlight w:val="none"/>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adjustRightInd w:val="0"/>
        <w:snapToGrid w:val="0"/>
        <w:spacing w:line="360" w:lineRule="auto"/>
        <w:ind w:firstLine="444" w:firstLineChars="200"/>
        <w:rPr>
          <w:rFonts w:hint="eastAsia" w:ascii="宋体" w:hAnsi="宋体" w:cs="宋体"/>
          <w:spacing w:val="6"/>
          <w:szCs w:val="21"/>
          <w:highlight w:val="none"/>
        </w:rPr>
      </w:pPr>
      <w:r>
        <w:rPr>
          <w:rFonts w:hint="eastAsia" w:ascii="宋体" w:hAnsi="宋体" w:cs="宋体"/>
          <w:spacing w:val="6"/>
          <w:szCs w:val="21"/>
          <w:highlight w:val="none"/>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adjustRightInd w:val="0"/>
        <w:snapToGrid w:val="0"/>
        <w:spacing w:line="360" w:lineRule="auto"/>
        <w:ind w:firstLine="444" w:firstLineChars="200"/>
        <w:rPr>
          <w:rFonts w:hint="eastAsia" w:ascii="宋体" w:hAnsi="宋体" w:cs="宋体"/>
          <w:spacing w:val="6"/>
          <w:szCs w:val="21"/>
          <w:highlight w:val="none"/>
        </w:rPr>
      </w:pPr>
      <w:r>
        <w:rPr>
          <w:rFonts w:hint="eastAsia" w:ascii="宋体" w:hAnsi="宋体" w:cs="宋体"/>
          <w:spacing w:val="6"/>
          <w:szCs w:val="21"/>
          <w:highlight w:val="none"/>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adjustRightInd w:val="0"/>
        <w:snapToGrid w:val="0"/>
        <w:spacing w:line="360" w:lineRule="auto"/>
        <w:ind w:firstLine="444" w:firstLineChars="200"/>
        <w:rPr>
          <w:rFonts w:hint="eastAsia" w:ascii="宋体" w:hAnsi="宋体" w:cs="宋体"/>
          <w:spacing w:val="6"/>
          <w:szCs w:val="21"/>
          <w:highlight w:val="none"/>
        </w:rPr>
      </w:pPr>
      <w:r>
        <w:rPr>
          <w:rFonts w:hint="eastAsia" w:ascii="宋体" w:hAnsi="宋体" w:cs="宋体"/>
          <w:spacing w:val="6"/>
          <w:szCs w:val="21"/>
          <w:highlight w:val="none"/>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adjustRightInd w:val="0"/>
        <w:snapToGrid w:val="0"/>
        <w:spacing w:line="360" w:lineRule="auto"/>
        <w:ind w:firstLine="444" w:firstLineChars="200"/>
        <w:rPr>
          <w:rFonts w:hint="eastAsia" w:ascii="宋体" w:hAnsi="宋体" w:cs="宋体"/>
          <w:spacing w:val="6"/>
          <w:szCs w:val="21"/>
          <w:highlight w:val="none"/>
        </w:rPr>
      </w:pPr>
      <w:r>
        <w:rPr>
          <w:rFonts w:hint="eastAsia" w:ascii="宋体" w:hAnsi="宋体" w:cs="宋体"/>
          <w:spacing w:val="6"/>
          <w:szCs w:val="21"/>
          <w:highlight w:val="none"/>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adjustRightInd w:val="0"/>
        <w:snapToGrid w:val="0"/>
        <w:spacing w:line="360" w:lineRule="auto"/>
        <w:ind w:firstLine="444" w:firstLineChars="200"/>
        <w:rPr>
          <w:rFonts w:hint="eastAsia" w:ascii="宋体" w:hAnsi="宋体" w:cs="宋体"/>
          <w:spacing w:val="6"/>
          <w:szCs w:val="21"/>
          <w:highlight w:val="none"/>
        </w:rPr>
      </w:pPr>
      <w:r>
        <w:rPr>
          <w:rFonts w:hint="eastAsia" w:ascii="宋体" w:hAnsi="宋体" w:cs="宋体"/>
          <w:spacing w:val="6"/>
          <w:szCs w:val="21"/>
          <w:highlight w:val="none"/>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adjustRightInd w:val="0"/>
        <w:snapToGrid w:val="0"/>
        <w:spacing w:line="360" w:lineRule="auto"/>
        <w:ind w:firstLine="444" w:firstLineChars="200"/>
        <w:rPr>
          <w:rFonts w:hint="eastAsia" w:ascii="宋体" w:hAnsi="宋体" w:cs="宋体"/>
          <w:spacing w:val="6"/>
          <w:szCs w:val="21"/>
          <w:highlight w:val="none"/>
        </w:rPr>
      </w:pPr>
      <w:r>
        <w:rPr>
          <w:rFonts w:hint="eastAsia" w:ascii="宋体" w:hAnsi="宋体" w:cs="宋体"/>
          <w:spacing w:val="6"/>
          <w:szCs w:val="21"/>
          <w:highlight w:val="none"/>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adjustRightInd w:val="0"/>
        <w:snapToGrid w:val="0"/>
        <w:spacing w:line="360" w:lineRule="auto"/>
        <w:ind w:firstLine="444" w:firstLineChars="200"/>
        <w:rPr>
          <w:rFonts w:hint="eastAsia" w:ascii="宋体" w:hAnsi="宋体" w:cs="宋体"/>
          <w:spacing w:val="6"/>
          <w:szCs w:val="21"/>
          <w:highlight w:val="none"/>
        </w:rPr>
      </w:pPr>
      <w:r>
        <w:rPr>
          <w:rFonts w:hint="eastAsia" w:ascii="宋体" w:hAnsi="宋体" w:cs="宋体"/>
          <w:spacing w:val="6"/>
          <w:szCs w:val="21"/>
          <w:highlight w:val="none"/>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adjustRightInd w:val="0"/>
        <w:snapToGrid w:val="0"/>
        <w:spacing w:line="360" w:lineRule="auto"/>
        <w:ind w:firstLine="444" w:firstLineChars="200"/>
        <w:rPr>
          <w:rFonts w:hint="eastAsia" w:ascii="宋体" w:hAnsi="宋体" w:cs="宋体"/>
          <w:spacing w:val="6"/>
          <w:szCs w:val="21"/>
          <w:highlight w:val="none"/>
        </w:rPr>
      </w:pPr>
      <w:r>
        <w:rPr>
          <w:rFonts w:hint="eastAsia" w:ascii="宋体" w:hAnsi="宋体" w:cs="宋体"/>
          <w:spacing w:val="6"/>
          <w:szCs w:val="21"/>
          <w:highlight w:val="none"/>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adjustRightInd w:val="0"/>
        <w:snapToGrid w:val="0"/>
        <w:spacing w:line="360" w:lineRule="auto"/>
        <w:ind w:firstLine="444" w:firstLineChars="200"/>
        <w:rPr>
          <w:rFonts w:hint="eastAsia" w:ascii="宋体" w:hAnsi="宋体" w:cs="宋体"/>
          <w:spacing w:val="6"/>
          <w:szCs w:val="21"/>
          <w:highlight w:val="none"/>
        </w:rPr>
      </w:pPr>
      <w:r>
        <w:rPr>
          <w:rFonts w:hint="eastAsia" w:ascii="宋体" w:hAnsi="宋体" w:cs="宋体"/>
          <w:spacing w:val="6"/>
          <w:szCs w:val="21"/>
          <w:highlight w:val="none"/>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adjustRightInd w:val="0"/>
        <w:snapToGrid w:val="0"/>
        <w:spacing w:line="360" w:lineRule="auto"/>
        <w:ind w:firstLine="444" w:firstLineChars="200"/>
        <w:rPr>
          <w:rFonts w:hint="eastAsia" w:ascii="宋体" w:hAnsi="宋体" w:cs="宋体"/>
          <w:spacing w:val="6"/>
          <w:szCs w:val="21"/>
          <w:highlight w:val="none"/>
        </w:rPr>
      </w:pPr>
      <w:r>
        <w:rPr>
          <w:rFonts w:hint="eastAsia" w:ascii="宋体" w:hAnsi="宋体" w:cs="宋体"/>
          <w:spacing w:val="6"/>
          <w:szCs w:val="21"/>
          <w:highlight w:val="none"/>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adjustRightInd w:val="0"/>
        <w:snapToGrid w:val="0"/>
        <w:spacing w:line="360" w:lineRule="auto"/>
        <w:ind w:firstLine="444" w:firstLineChars="200"/>
        <w:rPr>
          <w:rFonts w:hint="eastAsia" w:ascii="宋体" w:hAnsi="宋体" w:cs="宋体"/>
          <w:spacing w:val="6"/>
          <w:szCs w:val="21"/>
          <w:highlight w:val="none"/>
        </w:rPr>
      </w:pPr>
      <w:r>
        <w:rPr>
          <w:rFonts w:hint="eastAsia" w:ascii="宋体" w:hAnsi="宋体" w:cs="宋体"/>
          <w:spacing w:val="6"/>
          <w:szCs w:val="21"/>
          <w:highlight w:val="none"/>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adjustRightInd w:val="0"/>
        <w:snapToGrid w:val="0"/>
        <w:spacing w:line="360" w:lineRule="auto"/>
        <w:ind w:firstLine="444" w:firstLineChars="200"/>
        <w:rPr>
          <w:rFonts w:hint="eastAsia" w:ascii="宋体" w:hAnsi="宋体" w:cs="宋体"/>
          <w:spacing w:val="6"/>
          <w:szCs w:val="21"/>
          <w:highlight w:val="none"/>
        </w:rPr>
      </w:pPr>
      <w:r>
        <w:rPr>
          <w:rFonts w:hint="eastAsia" w:ascii="宋体" w:hAnsi="宋体" w:cs="宋体"/>
          <w:spacing w:val="6"/>
          <w:szCs w:val="21"/>
          <w:highlight w:val="none"/>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adjustRightInd w:val="0"/>
        <w:snapToGrid w:val="0"/>
        <w:spacing w:line="360" w:lineRule="auto"/>
        <w:ind w:firstLine="444" w:firstLineChars="200"/>
        <w:rPr>
          <w:rFonts w:hint="eastAsia" w:ascii="宋体" w:hAnsi="宋体" w:cs="宋体"/>
          <w:spacing w:val="6"/>
          <w:szCs w:val="21"/>
          <w:highlight w:val="none"/>
        </w:rPr>
      </w:pPr>
      <w:r>
        <w:rPr>
          <w:rFonts w:hint="eastAsia" w:ascii="宋体" w:hAnsi="宋体" w:cs="宋体"/>
          <w:spacing w:val="6"/>
          <w:szCs w:val="21"/>
          <w:highlight w:val="none"/>
        </w:rPr>
        <w:t>（十六）其他未列明行业。从业人员300人以下的为中小微型企业。其中，从业人员100人及以上的为中型企业；从业人员10人及以上的为小型企业；从业人员10人以下的为微型企业。</w:t>
      </w:r>
    </w:p>
    <w:p>
      <w:pPr>
        <w:adjustRightInd w:val="0"/>
        <w:snapToGrid w:val="0"/>
        <w:spacing w:line="360" w:lineRule="auto"/>
        <w:ind w:firstLine="444" w:firstLineChars="200"/>
        <w:rPr>
          <w:rFonts w:hint="eastAsia" w:ascii="宋体" w:hAnsi="宋体" w:cs="宋体"/>
          <w:spacing w:val="6"/>
          <w:szCs w:val="21"/>
          <w:highlight w:val="none"/>
        </w:rPr>
      </w:pPr>
      <w:r>
        <w:rPr>
          <w:rFonts w:hint="eastAsia" w:ascii="宋体" w:hAnsi="宋体" w:cs="宋体"/>
          <w:spacing w:val="6"/>
          <w:szCs w:val="21"/>
          <w:highlight w:val="none"/>
        </w:rPr>
        <w:t>五、企业类型的划分以统计部门的统计数据为依据。</w:t>
      </w:r>
    </w:p>
    <w:p>
      <w:pPr>
        <w:adjustRightInd w:val="0"/>
        <w:snapToGrid w:val="0"/>
        <w:spacing w:line="360" w:lineRule="auto"/>
        <w:ind w:firstLine="444" w:firstLineChars="200"/>
        <w:rPr>
          <w:rFonts w:hint="eastAsia" w:ascii="宋体" w:hAnsi="宋体" w:cs="宋体"/>
          <w:spacing w:val="6"/>
          <w:szCs w:val="21"/>
          <w:highlight w:val="none"/>
        </w:rPr>
      </w:pPr>
      <w:r>
        <w:rPr>
          <w:rFonts w:hint="eastAsia" w:ascii="宋体" w:hAnsi="宋体" w:cs="宋体"/>
          <w:spacing w:val="6"/>
          <w:szCs w:val="21"/>
          <w:highlight w:val="none"/>
        </w:rPr>
        <w:t>六、本规定适用于在中华人民共和国境内依法设立的各类所有制和各种组织形式的企业。个体工商户和本规定以外的行业，参照本规定进行划型。</w:t>
      </w:r>
    </w:p>
    <w:p>
      <w:pPr>
        <w:adjustRightInd w:val="0"/>
        <w:snapToGrid w:val="0"/>
        <w:spacing w:line="360" w:lineRule="auto"/>
        <w:ind w:firstLine="444" w:firstLineChars="200"/>
        <w:rPr>
          <w:rFonts w:hint="eastAsia" w:ascii="宋体" w:hAnsi="宋体" w:cs="宋体"/>
          <w:spacing w:val="6"/>
          <w:szCs w:val="21"/>
          <w:highlight w:val="none"/>
        </w:rPr>
      </w:pPr>
      <w:r>
        <w:rPr>
          <w:rFonts w:hint="eastAsia" w:ascii="宋体" w:hAnsi="宋体" w:cs="宋体"/>
          <w:spacing w:val="6"/>
          <w:szCs w:val="21"/>
          <w:highlight w:val="none"/>
        </w:rPr>
        <w:t>七、本规定的中型企业标准上限即为大型企业标准的下限，国家统计部门据此制定大中小微型企业的统计分类。国务院有关部门据此进行相关数据分析，不得制定与本规定不一致的企业划型标准。</w:t>
      </w:r>
    </w:p>
    <w:p>
      <w:pPr>
        <w:adjustRightInd w:val="0"/>
        <w:snapToGrid w:val="0"/>
        <w:spacing w:line="360" w:lineRule="auto"/>
        <w:ind w:firstLine="444" w:firstLineChars="200"/>
        <w:rPr>
          <w:rFonts w:hint="eastAsia" w:ascii="宋体" w:hAnsi="宋体" w:cs="宋体"/>
          <w:spacing w:val="6"/>
          <w:szCs w:val="21"/>
          <w:highlight w:val="none"/>
        </w:rPr>
      </w:pPr>
      <w:r>
        <w:rPr>
          <w:rFonts w:hint="eastAsia" w:ascii="宋体" w:hAnsi="宋体" w:cs="宋体"/>
          <w:spacing w:val="6"/>
          <w:szCs w:val="21"/>
          <w:highlight w:val="none"/>
        </w:rPr>
        <w:t>八、本规定由工业和信息化部、国家统计局会同有关部门根据《国民经济行业分类》修订情况和企业发展变化情况适时修订。</w:t>
      </w:r>
    </w:p>
    <w:p>
      <w:pPr>
        <w:adjustRightInd w:val="0"/>
        <w:snapToGrid w:val="0"/>
        <w:spacing w:line="360" w:lineRule="auto"/>
        <w:ind w:firstLine="444" w:firstLineChars="200"/>
        <w:rPr>
          <w:rFonts w:hint="eastAsia" w:ascii="宋体" w:hAnsi="宋体" w:cs="宋体"/>
          <w:spacing w:val="6"/>
          <w:szCs w:val="21"/>
          <w:highlight w:val="none"/>
        </w:rPr>
      </w:pPr>
      <w:r>
        <w:rPr>
          <w:rFonts w:hint="eastAsia" w:ascii="宋体" w:hAnsi="宋体" w:cs="宋体"/>
          <w:spacing w:val="6"/>
          <w:szCs w:val="21"/>
          <w:highlight w:val="none"/>
        </w:rPr>
        <w:t>九、本规定由工业和信息化部、国家统计局会同有关部门负责解释。</w:t>
      </w:r>
    </w:p>
    <w:p>
      <w:pPr>
        <w:adjustRightInd w:val="0"/>
        <w:snapToGrid w:val="0"/>
        <w:spacing w:line="360" w:lineRule="auto"/>
        <w:ind w:firstLine="444" w:firstLineChars="200"/>
        <w:rPr>
          <w:rFonts w:hint="eastAsia" w:ascii="宋体" w:hAnsi="宋体" w:cs="宋体"/>
          <w:spacing w:val="6"/>
          <w:szCs w:val="21"/>
          <w:highlight w:val="none"/>
        </w:rPr>
      </w:pPr>
      <w:r>
        <w:rPr>
          <w:rFonts w:hint="eastAsia" w:ascii="宋体" w:hAnsi="宋体" w:cs="宋体"/>
          <w:spacing w:val="6"/>
          <w:szCs w:val="21"/>
          <w:highlight w:val="none"/>
        </w:rPr>
        <w:t>十、本规定自发布之日起执行，原国家经贸委、原国家计委、财政部和国家统计局2003年颁布的《中小企业标准暂行规定》同时废止。</w:t>
      </w:r>
    </w:p>
    <w:p>
      <w:pPr>
        <w:pStyle w:val="3"/>
        <w:rPr>
          <w:rStyle w:val="7"/>
          <w:rFonts w:hint="eastAsia" w:ascii="宋体" w:hAnsi="宋体" w:cs="宋体"/>
          <w:b/>
          <w:highlight w:val="none"/>
        </w:rPr>
      </w:pPr>
      <w:r>
        <w:rPr>
          <w:rFonts w:hint="eastAsia"/>
          <w:highlight w:val="none"/>
          <w:lang w:val="en-US"/>
        </w:rPr>
        <w:br w:type="page"/>
      </w:r>
      <w:r>
        <w:rPr>
          <w:rStyle w:val="7"/>
          <w:rFonts w:hint="eastAsia" w:ascii="宋体" w:hAnsi="宋体" w:cs="宋体"/>
          <w:b/>
          <w:highlight w:val="none"/>
        </w:rPr>
        <w:t>附件3：国家统计局关于印发《统计上大中小微型企业划分办法（2017）》的通知</w:t>
      </w:r>
    </w:p>
    <w:p>
      <w:pPr>
        <w:adjustRightInd w:val="0"/>
        <w:snapToGrid w:val="0"/>
        <w:spacing w:line="360" w:lineRule="auto"/>
        <w:ind w:firstLine="444" w:firstLineChars="200"/>
        <w:rPr>
          <w:rFonts w:hint="eastAsia" w:ascii="宋体" w:hAnsi="宋体" w:cs="宋体"/>
          <w:spacing w:val="6"/>
          <w:szCs w:val="21"/>
          <w:highlight w:val="none"/>
        </w:rPr>
      </w:pPr>
      <w:r>
        <w:rPr>
          <w:rFonts w:hint="eastAsia" w:ascii="宋体" w:hAnsi="宋体" w:cs="宋体"/>
          <w:spacing w:val="6"/>
          <w:szCs w:val="21"/>
          <w:highlight w:val="none"/>
        </w:rPr>
        <w:t>各省、自治区、直辖市统计局，新疆生产建设兵团统计局，国务院各有关部门，国家统计局各调查总队：</w:t>
      </w:r>
    </w:p>
    <w:p>
      <w:pPr>
        <w:adjustRightInd w:val="0"/>
        <w:snapToGrid w:val="0"/>
        <w:spacing w:line="360" w:lineRule="auto"/>
        <w:ind w:firstLine="444" w:firstLineChars="200"/>
        <w:rPr>
          <w:rFonts w:hint="eastAsia" w:ascii="宋体" w:hAnsi="宋体" w:cs="宋体"/>
          <w:spacing w:val="6"/>
          <w:szCs w:val="21"/>
          <w:highlight w:val="none"/>
        </w:rPr>
      </w:pPr>
      <w:r>
        <w:rPr>
          <w:rFonts w:hint="eastAsia" w:ascii="宋体" w:hAnsi="宋体" w:cs="宋体"/>
          <w:spacing w:val="6"/>
          <w:szCs w:val="21"/>
          <w:highlight w:val="none"/>
        </w:rPr>
        <w:t> 《国民经济行业分类》（GB/T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pPr>
        <w:adjustRightInd w:val="0"/>
        <w:snapToGrid w:val="0"/>
        <w:spacing w:line="360" w:lineRule="auto"/>
        <w:ind w:firstLine="444" w:firstLineChars="200"/>
        <w:rPr>
          <w:rFonts w:hint="eastAsia" w:ascii="宋体" w:hAnsi="宋体" w:cs="宋体"/>
          <w:spacing w:val="6"/>
          <w:szCs w:val="21"/>
          <w:highlight w:val="none"/>
        </w:rPr>
      </w:pPr>
      <w:r>
        <w:rPr>
          <w:rFonts w:hint="eastAsia" w:ascii="宋体" w:hAnsi="宋体" w:cs="宋体"/>
          <w:spacing w:val="6"/>
          <w:szCs w:val="21"/>
          <w:highlight w:val="none"/>
        </w:rPr>
        <w:t> 附件：《统计上大中小微型企业划分办法（2017）》修订说明 </w:t>
      </w:r>
    </w:p>
    <w:p>
      <w:pPr>
        <w:adjustRightInd w:val="0"/>
        <w:snapToGrid w:val="0"/>
        <w:spacing w:line="360" w:lineRule="auto"/>
        <w:ind w:firstLine="444" w:firstLineChars="200"/>
        <w:jc w:val="right"/>
        <w:rPr>
          <w:rFonts w:hint="eastAsia" w:ascii="宋体" w:hAnsi="宋体" w:cs="宋体"/>
          <w:spacing w:val="6"/>
          <w:szCs w:val="21"/>
          <w:highlight w:val="none"/>
        </w:rPr>
      </w:pPr>
      <w:r>
        <w:rPr>
          <w:rFonts w:hint="eastAsia" w:ascii="宋体" w:hAnsi="宋体" w:cs="宋体"/>
          <w:spacing w:val="6"/>
          <w:szCs w:val="21"/>
          <w:highlight w:val="none"/>
        </w:rPr>
        <w:t>国家统计局  </w:t>
      </w:r>
    </w:p>
    <w:p>
      <w:pPr>
        <w:adjustRightInd w:val="0"/>
        <w:snapToGrid w:val="0"/>
        <w:spacing w:line="360" w:lineRule="auto"/>
        <w:ind w:firstLine="444" w:firstLineChars="200"/>
        <w:jc w:val="right"/>
        <w:rPr>
          <w:rFonts w:hint="eastAsia" w:ascii="宋体" w:hAnsi="宋体" w:cs="宋体"/>
          <w:spacing w:val="6"/>
          <w:szCs w:val="21"/>
          <w:highlight w:val="none"/>
        </w:rPr>
      </w:pPr>
      <w:r>
        <w:rPr>
          <w:rFonts w:hint="eastAsia" w:ascii="宋体" w:hAnsi="宋体" w:cs="宋体"/>
          <w:spacing w:val="6"/>
          <w:szCs w:val="21"/>
          <w:highlight w:val="none"/>
        </w:rPr>
        <w:t>2017年12月28日</w:t>
      </w:r>
    </w:p>
    <w:p>
      <w:pPr>
        <w:adjustRightInd w:val="0"/>
        <w:snapToGrid w:val="0"/>
        <w:spacing w:line="360" w:lineRule="auto"/>
        <w:ind w:firstLine="506" w:firstLineChars="200"/>
        <w:jc w:val="center"/>
        <w:rPr>
          <w:rFonts w:hint="eastAsia" w:ascii="宋体" w:hAnsi="宋体" w:cs="宋体"/>
          <w:b/>
          <w:bCs/>
          <w:spacing w:val="6"/>
          <w:sz w:val="24"/>
          <w:highlight w:val="none"/>
        </w:rPr>
      </w:pPr>
      <w:r>
        <w:rPr>
          <w:rFonts w:hint="eastAsia" w:ascii="宋体" w:hAnsi="宋体" w:cs="宋体"/>
          <w:b/>
          <w:bCs/>
          <w:spacing w:val="6"/>
          <w:sz w:val="24"/>
          <w:highlight w:val="none"/>
        </w:rPr>
        <w:t>统计上大中小微型企业划分办法（2017）</w:t>
      </w:r>
    </w:p>
    <w:p>
      <w:pPr>
        <w:adjustRightInd w:val="0"/>
        <w:snapToGrid w:val="0"/>
        <w:spacing w:line="360" w:lineRule="auto"/>
        <w:ind w:firstLine="504" w:firstLineChars="200"/>
        <w:rPr>
          <w:rFonts w:hint="eastAsia" w:ascii="宋体" w:hAnsi="宋体" w:cs="宋体"/>
          <w:spacing w:val="6"/>
          <w:szCs w:val="21"/>
          <w:highlight w:val="none"/>
        </w:rPr>
      </w:pPr>
      <w:r>
        <w:rPr>
          <w:rFonts w:hint="eastAsia" w:ascii="宋体" w:hAnsi="宋体" w:cs="宋体"/>
          <w:spacing w:val="6"/>
          <w:sz w:val="24"/>
          <w:highlight w:val="none"/>
        </w:rPr>
        <w:t>　</w:t>
      </w:r>
      <w:r>
        <w:rPr>
          <w:rFonts w:hint="eastAsia" w:ascii="宋体" w:hAnsi="宋体" w:cs="宋体"/>
          <w:spacing w:val="6"/>
          <w:szCs w:val="21"/>
          <w:highlight w:val="none"/>
        </w:rPr>
        <w:t>　一、根据工业和信息化部、国家统计局、国家发展改革委、财政部《关于印发中小企业划型标准规定的通知》（工信部联企业〔2011〕300号），以《国民经济行业分类》（GB/T4754-2017）为基础，结合统计工作的实际情况，制定本办法。</w:t>
      </w:r>
    </w:p>
    <w:p>
      <w:pPr>
        <w:adjustRightInd w:val="0"/>
        <w:snapToGrid w:val="0"/>
        <w:spacing w:line="360" w:lineRule="auto"/>
        <w:ind w:firstLine="444" w:firstLineChars="200"/>
        <w:rPr>
          <w:rFonts w:hint="eastAsia" w:ascii="宋体" w:hAnsi="宋体" w:cs="宋体"/>
          <w:spacing w:val="6"/>
          <w:szCs w:val="21"/>
          <w:highlight w:val="none"/>
        </w:rPr>
      </w:pPr>
      <w:r>
        <w:rPr>
          <w:rFonts w:hint="eastAsia" w:ascii="宋体" w:hAnsi="宋体" w:cs="宋体"/>
          <w:spacing w:val="6"/>
          <w:szCs w:val="21"/>
          <w:highlight w:val="none"/>
        </w:rPr>
        <w:t>　　二、本办法适用对象为在中华人民共和国境内依法设立的各种组织形式的法人企业或单位。个体工商户参照本办法进行划分。</w:t>
      </w:r>
    </w:p>
    <w:p>
      <w:pPr>
        <w:adjustRightInd w:val="0"/>
        <w:snapToGrid w:val="0"/>
        <w:spacing w:line="360" w:lineRule="auto"/>
        <w:ind w:firstLine="444" w:firstLineChars="200"/>
        <w:rPr>
          <w:rFonts w:hint="eastAsia" w:ascii="宋体" w:hAnsi="宋体" w:cs="宋体"/>
          <w:spacing w:val="6"/>
          <w:szCs w:val="21"/>
          <w:highlight w:val="none"/>
        </w:rPr>
      </w:pPr>
      <w:r>
        <w:rPr>
          <w:rFonts w:hint="eastAsia" w:ascii="宋体" w:hAnsi="宋体" w:cs="宋体"/>
          <w:spacing w:val="6"/>
          <w:szCs w:val="21"/>
          <w:highlight w:val="none"/>
        </w:rPr>
        <w:t>　　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adjustRightInd w:val="0"/>
        <w:snapToGrid w:val="0"/>
        <w:spacing w:line="360" w:lineRule="auto"/>
        <w:ind w:firstLine="444" w:firstLineChars="200"/>
        <w:rPr>
          <w:rFonts w:hint="eastAsia" w:ascii="宋体" w:hAnsi="宋体" w:cs="宋体"/>
          <w:spacing w:val="6"/>
          <w:szCs w:val="21"/>
          <w:highlight w:val="none"/>
        </w:rPr>
      </w:pPr>
      <w:r>
        <w:rPr>
          <w:rFonts w:hint="eastAsia" w:ascii="宋体" w:hAnsi="宋体" w:cs="宋体"/>
          <w:spacing w:val="6"/>
          <w:szCs w:val="21"/>
          <w:highlight w:val="none"/>
        </w:rPr>
        <w:t>　　四、本办法按照行业门类、大类、中类和组合类别，依据从业人员、营业收入、资产总额等指标或替代指标，将我国的企业划分为大型、中型、小型、微型等四种类型。具体划分标准见附表。</w:t>
      </w:r>
    </w:p>
    <w:p>
      <w:pPr>
        <w:adjustRightInd w:val="0"/>
        <w:snapToGrid w:val="0"/>
        <w:spacing w:line="360" w:lineRule="auto"/>
        <w:ind w:firstLine="444" w:firstLineChars="200"/>
        <w:rPr>
          <w:rFonts w:hint="eastAsia" w:ascii="宋体" w:hAnsi="宋体" w:cs="宋体"/>
          <w:spacing w:val="6"/>
          <w:szCs w:val="21"/>
          <w:highlight w:val="none"/>
        </w:rPr>
      </w:pPr>
      <w:r>
        <w:rPr>
          <w:rFonts w:hint="eastAsia" w:ascii="宋体" w:hAnsi="宋体" w:cs="宋体"/>
          <w:spacing w:val="6"/>
          <w:szCs w:val="21"/>
          <w:highlight w:val="none"/>
        </w:rPr>
        <w:t>　　五、企业划分由政府综合统计部门根据统计年报每年确定一次，定报统计原则上不进行调整。</w:t>
      </w:r>
    </w:p>
    <w:p>
      <w:pPr>
        <w:adjustRightInd w:val="0"/>
        <w:snapToGrid w:val="0"/>
        <w:spacing w:line="360" w:lineRule="auto"/>
        <w:ind w:firstLine="444" w:firstLineChars="200"/>
        <w:rPr>
          <w:rFonts w:hint="eastAsia" w:ascii="宋体" w:hAnsi="宋体" w:cs="宋体"/>
          <w:spacing w:val="6"/>
          <w:szCs w:val="21"/>
          <w:highlight w:val="none"/>
        </w:rPr>
      </w:pPr>
      <w:r>
        <w:rPr>
          <w:rFonts w:hint="eastAsia" w:ascii="宋体" w:hAnsi="宋体" w:cs="宋体"/>
          <w:spacing w:val="6"/>
          <w:szCs w:val="21"/>
          <w:highlight w:val="none"/>
        </w:rPr>
        <w:t>　　六、本办法自印发之日起执行，国家统计局2011年印发的《统计上大中小微型企业划分办法》（国统字〔2011〕75号）同时废止。</w:t>
      </w:r>
    </w:p>
    <w:p>
      <w:pPr>
        <w:adjustRightInd w:val="0"/>
        <w:snapToGrid w:val="0"/>
        <w:spacing w:line="360" w:lineRule="auto"/>
        <w:ind w:firstLine="446" w:firstLineChars="200"/>
        <w:jc w:val="center"/>
        <w:rPr>
          <w:rFonts w:hint="eastAsia" w:ascii="宋体" w:hAnsi="宋体" w:cs="宋体"/>
          <w:b/>
          <w:bCs/>
          <w:spacing w:val="6"/>
          <w:szCs w:val="21"/>
          <w:highlight w:val="none"/>
        </w:rPr>
      </w:pPr>
      <w:r>
        <w:rPr>
          <w:rFonts w:hint="eastAsia" w:ascii="宋体" w:hAnsi="宋体" w:cs="宋体"/>
          <w:b/>
          <w:bCs/>
          <w:spacing w:val="6"/>
          <w:szCs w:val="21"/>
          <w:highlight w:val="none"/>
        </w:rPr>
        <w:t>附表：统计上大中小微型企业划分标准</w:t>
      </w:r>
    </w:p>
    <w:tbl>
      <w:tblPr>
        <w:tblStyle w:val="4"/>
        <w:tblW w:w="94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3"/>
        <w:gridCol w:w="1369"/>
        <w:gridCol w:w="827"/>
        <w:gridCol w:w="1007"/>
        <w:gridCol w:w="1701"/>
        <w:gridCol w:w="1426"/>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exact"/>
          <w:jc w:val="center"/>
        </w:trPr>
        <w:tc>
          <w:tcPr>
            <w:tcW w:w="2113" w:type="dxa"/>
            <w:noWrap w:val="0"/>
            <w:vAlign w:val="center"/>
          </w:tcPr>
          <w:p>
            <w:pPr>
              <w:widowControl/>
              <w:spacing w:line="360" w:lineRule="auto"/>
              <w:jc w:val="left"/>
              <w:rPr>
                <w:rFonts w:hint="eastAsia" w:ascii="宋体" w:hAnsi="宋体" w:cs="宋体"/>
                <w:b/>
                <w:bCs/>
                <w:kern w:val="0"/>
                <w:szCs w:val="21"/>
                <w:highlight w:val="none"/>
              </w:rPr>
            </w:pPr>
            <w:r>
              <w:rPr>
                <w:rFonts w:hint="eastAsia" w:ascii="宋体" w:hAnsi="宋体" w:cs="宋体"/>
                <w:b/>
                <w:bCs/>
                <w:kern w:val="0"/>
                <w:szCs w:val="21"/>
                <w:highlight w:val="none"/>
              </w:rPr>
              <w:t>行业名称</w:t>
            </w:r>
          </w:p>
        </w:tc>
        <w:tc>
          <w:tcPr>
            <w:tcW w:w="1369" w:type="dxa"/>
            <w:noWrap w:val="0"/>
            <w:vAlign w:val="center"/>
          </w:tcPr>
          <w:p>
            <w:pPr>
              <w:widowControl/>
              <w:spacing w:line="360" w:lineRule="auto"/>
              <w:jc w:val="left"/>
              <w:rPr>
                <w:rFonts w:hint="eastAsia" w:ascii="宋体" w:hAnsi="宋体" w:cs="宋体"/>
                <w:b/>
                <w:bCs/>
                <w:kern w:val="0"/>
                <w:szCs w:val="21"/>
                <w:highlight w:val="none"/>
              </w:rPr>
            </w:pPr>
            <w:r>
              <w:rPr>
                <w:rFonts w:hint="eastAsia" w:ascii="宋体" w:hAnsi="宋体" w:cs="宋体"/>
                <w:b/>
                <w:bCs/>
                <w:kern w:val="0"/>
                <w:szCs w:val="21"/>
                <w:highlight w:val="none"/>
              </w:rPr>
              <w:t>指标名称</w:t>
            </w:r>
          </w:p>
        </w:tc>
        <w:tc>
          <w:tcPr>
            <w:tcW w:w="827" w:type="dxa"/>
            <w:noWrap w:val="0"/>
            <w:vAlign w:val="center"/>
          </w:tcPr>
          <w:p>
            <w:pPr>
              <w:widowControl/>
              <w:spacing w:line="360" w:lineRule="auto"/>
              <w:jc w:val="left"/>
              <w:rPr>
                <w:rFonts w:hint="eastAsia" w:ascii="宋体" w:hAnsi="宋体" w:cs="宋体"/>
                <w:b/>
                <w:bCs/>
                <w:kern w:val="0"/>
                <w:szCs w:val="21"/>
                <w:highlight w:val="none"/>
              </w:rPr>
            </w:pPr>
            <w:r>
              <w:rPr>
                <w:rFonts w:hint="eastAsia" w:ascii="宋体" w:hAnsi="宋体" w:cs="宋体"/>
                <w:b/>
                <w:bCs/>
                <w:kern w:val="0"/>
                <w:szCs w:val="21"/>
                <w:highlight w:val="none"/>
              </w:rPr>
              <w:t>计量</w:t>
            </w:r>
            <w:r>
              <w:rPr>
                <w:rFonts w:hint="eastAsia" w:ascii="宋体" w:hAnsi="宋体" w:cs="宋体"/>
                <w:b/>
                <w:bCs/>
                <w:kern w:val="0"/>
                <w:szCs w:val="21"/>
                <w:highlight w:val="none"/>
              </w:rPr>
              <w:br w:type="textWrapping"/>
            </w:r>
            <w:r>
              <w:rPr>
                <w:rFonts w:hint="eastAsia" w:ascii="宋体" w:hAnsi="宋体" w:cs="宋体"/>
                <w:b/>
                <w:bCs/>
                <w:kern w:val="0"/>
                <w:szCs w:val="21"/>
                <w:highlight w:val="none"/>
              </w:rPr>
              <w:t>单位</w:t>
            </w:r>
          </w:p>
        </w:tc>
        <w:tc>
          <w:tcPr>
            <w:tcW w:w="1007" w:type="dxa"/>
            <w:noWrap w:val="0"/>
            <w:vAlign w:val="center"/>
          </w:tcPr>
          <w:p>
            <w:pPr>
              <w:widowControl/>
              <w:spacing w:line="360" w:lineRule="auto"/>
              <w:jc w:val="left"/>
              <w:rPr>
                <w:rFonts w:hint="eastAsia" w:ascii="宋体" w:hAnsi="宋体" w:cs="宋体"/>
                <w:b/>
                <w:bCs/>
                <w:kern w:val="0"/>
                <w:szCs w:val="21"/>
                <w:highlight w:val="none"/>
              </w:rPr>
            </w:pPr>
            <w:r>
              <w:rPr>
                <w:rFonts w:hint="eastAsia" w:ascii="宋体" w:hAnsi="宋体" w:cs="宋体"/>
                <w:b/>
                <w:bCs/>
                <w:kern w:val="0"/>
                <w:szCs w:val="21"/>
                <w:highlight w:val="none"/>
              </w:rPr>
              <w:t>大型</w:t>
            </w:r>
          </w:p>
        </w:tc>
        <w:tc>
          <w:tcPr>
            <w:tcW w:w="1701" w:type="dxa"/>
            <w:noWrap w:val="0"/>
            <w:vAlign w:val="center"/>
          </w:tcPr>
          <w:p>
            <w:pPr>
              <w:widowControl/>
              <w:spacing w:line="360" w:lineRule="auto"/>
              <w:jc w:val="left"/>
              <w:rPr>
                <w:rFonts w:hint="eastAsia" w:ascii="宋体" w:hAnsi="宋体" w:cs="宋体"/>
                <w:b/>
                <w:bCs/>
                <w:kern w:val="0"/>
                <w:szCs w:val="21"/>
                <w:highlight w:val="none"/>
              </w:rPr>
            </w:pPr>
            <w:r>
              <w:rPr>
                <w:rFonts w:hint="eastAsia" w:ascii="宋体" w:hAnsi="宋体" w:cs="宋体"/>
                <w:b/>
                <w:bCs/>
                <w:kern w:val="0"/>
                <w:szCs w:val="21"/>
                <w:highlight w:val="none"/>
              </w:rPr>
              <w:t>中型</w:t>
            </w:r>
          </w:p>
        </w:tc>
        <w:tc>
          <w:tcPr>
            <w:tcW w:w="1426" w:type="dxa"/>
            <w:noWrap w:val="0"/>
            <w:vAlign w:val="center"/>
          </w:tcPr>
          <w:p>
            <w:pPr>
              <w:widowControl/>
              <w:spacing w:line="360" w:lineRule="auto"/>
              <w:jc w:val="left"/>
              <w:rPr>
                <w:rFonts w:hint="eastAsia" w:ascii="宋体" w:hAnsi="宋体" w:cs="宋体"/>
                <w:b/>
                <w:bCs/>
                <w:kern w:val="0"/>
                <w:szCs w:val="21"/>
                <w:highlight w:val="none"/>
              </w:rPr>
            </w:pPr>
            <w:r>
              <w:rPr>
                <w:rFonts w:hint="eastAsia" w:ascii="宋体" w:hAnsi="宋体" w:cs="宋体"/>
                <w:b/>
                <w:bCs/>
                <w:kern w:val="0"/>
                <w:szCs w:val="21"/>
                <w:highlight w:val="none"/>
              </w:rPr>
              <w:t>小型</w:t>
            </w:r>
          </w:p>
        </w:tc>
        <w:tc>
          <w:tcPr>
            <w:tcW w:w="992" w:type="dxa"/>
            <w:noWrap w:val="0"/>
            <w:vAlign w:val="center"/>
          </w:tcPr>
          <w:p>
            <w:pPr>
              <w:widowControl/>
              <w:spacing w:line="360" w:lineRule="auto"/>
              <w:jc w:val="left"/>
              <w:rPr>
                <w:rFonts w:hint="eastAsia" w:ascii="宋体" w:hAnsi="宋体" w:cs="宋体"/>
                <w:b/>
                <w:bCs/>
                <w:kern w:val="0"/>
                <w:szCs w:val="21"/>
                <w:highlight w:val="none"/>
              </w:rPr>
            </w:pPr>
            <w:r>
              <w:rPr>
                <w:rFonts w:hint="eastAsia" w:ascii="宋体" w:hAnsi="宋体" w:cs="宋体"/>
                <w:b/>
                <w:bCs/>
                <w:kern w:val="0"/>
                <w:szCs w:val="21"/>
                <w:highlight w:val="none"/>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农、林、牧、渔业</w:t>
            </w:r>
          </w:p>
        </w:tc>
        <w:tc>
          <w:tcPr>
            <w:tcW w:w="1369"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营业收入(Y)</w:t>
            </w:r>
          </w:p>
        </w:tc>
        <w:tc>
          <w:tcPr>
            <w:tcW w:w="82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万元</w:t>
            </w:r>
          </w:p>
        </w:tc>
        <w:tc>
          <w:tcPr>
            <w:tcW w:w="100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Y≥20000</w:t>
            </w:r>
          </w:p>
        </w:tc>
        <w:tc>
          <w:tcPr>
            <w:tcW w:w="1701"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500≤Y＜20000</w:t>
            </w:r>
          </w:p>
        </w:tc>
        <w:tc>
          <w:tcPr>
            <w:tcW w:w="1426"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50≤Y＜500</w:t>
            </w:r>
          </w:p>
        </w:tc>
        <w:tc>
          <w:tcPr>
            <w:tcW w:w="992"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工业 *</w:t>
            </w:r>
          </w:p>
        </w:tc>
        <w:tc>
          <w:tcPr>
            <w:tcW w:w="1369"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从业人员(X)</w:t>
            </w:r>
          </w:p>
        </w:tc>
        <w:tc>
          <w:tcPr>
            <w:tcW w:w="82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人</w:t>
            </w:r>
          </w:p>
        </w:tc>
        <w:tc>
          <w:tcPr>
            <w:tcW w:w="100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X≥1000</w:t>
            </w:r>
          </w:p>
        </w:tc>
        <w:tc>
          <w:tcPr>
            <w:tcW w:w="1701"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300≤X＜1000</w:t>
            </w:r>
          </w:p>
        </w:tc>
        <w:tc>
          <w:tcPr>
            <w:tcW w:w="1426"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20≤X＜300</w:t>
            </w:r>
          </w:p>
        </w:tc>
        <w:tc>
          <w:tcPr>
            <w:tcW w:w="992"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noWrap w:val="0"/>
            <w:vAlign w:val="center"/>
          </w:tcPr>
          <w:p>
            <w:pPr>
              <w:widowControl/>
              <w:spacing w:line="360" w:lineRule="auto"/>
              <w:jc w:val="left"/>
              <w:rPr>
                <w:rFonts w:hint="eastAsia" w:ascii="宋体" w:hAnsi="宋体" w:cs="宋体"/>
                <w:kern w:val="0"/>
                <w:szCs w:val="21"/>
                <w:highlight w:val="none"/>
              </w:rPr>
            </w:pPr>
          </w:p>
        </w:tc>
        <w:tc>
          <w:tcPr>
            <w:tcW w:w="1369"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营业收入(Y)</w:t>
            </w:r>
          </w:p>
        </w:tc>
        <w:tc>
          <w:tcPr>
            <w:tcW w:w="82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万元</w:t>
            </w:r>
          </w:p>
        </w:tc>
        <w:tc>
          <w:tcPr>
            <w:tcW w:w="100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Y≥40000</w:t>
            </w:r>
          </w:p>
        </w:tc>
        <w:tc>
          <w:tcPr>
            <w:tcW w:w="1701"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2000≤Y＜40000</w:t>
            </w:r>
          </w:p>
        </w:tc>
        <w:tc>
          <w:tcPr>
            <w:tcW w:w="1426"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300≤Y＜2000</w:t>
            </w:r>
          </w:p>
        </w:tc>
        <w:tc>
          <w:tcPr>
            <w:tcW w:w="992"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建筑业</w:t>
            </w:r>
          </w:p>
        </w:tc>
        <w:tc>
          <w:tcPr>
            <w:tcW w:w="1369"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营业收入(Y)</w:t>
            </w:r>
          </w:p>
        </w:tc>
        <w:tc>
          <w:tcPr>
            <w:tcW w:w="82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万元</w:t>
            </w:r>
          </w:p>
        </w:tc>
        <w:tc>
          <w:tcPr>
            <w:tcW w:w="100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Y≥80000</w:t>
            </w:r>
          </w:p>
        </w:tc>
        <w:tc>
          <w:tcPr>
            <w:tcW w:w="1701"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6000≤Y＜80000</w:t>
            </w:r>
          </w:p>
        </w:tc>
        <w:tc>
          <w:tcPr>
            <w:tcW w:w="1426"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300≤Y＜6000</w:t>
            </w:r>
          </w:p>
        </w:tc>
        <w:tc>
          <w:tcPr>
            <w:tcW w:w="992"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noWrap w:val="0"/>
            <w:vAlign w:val="center"/>
          </w:tcPr>
          <w:p>
            <w:pPr>
              <w:widowControl/>
              <w:spacing w:line="360" w:lineRule="auto"/>
              <w:jc w:val="left"/>
              <w:rPr>
                <w:rFonts w:hint="eastAsia" w:ascii="宋体" w:hAnsi="宋体" w:cs="宋体"/>
                <w:kern w:val="0"/>
                <w:szCs w:val="21"/>
                <w:highlight w:val="none"/>
              </w:rPr>
            </w:pPr>
          </w:p>
        </w:tc>
        <w:tc>
          <w:tcPr>
            <w:tcW w:w="1369"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资产总额(Z)</w:t>
            </w:r>
          </w:p>
        </w:tc>
        <w:tc>
          <w:tcPr>
            <w:tcW w:w="82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万元</w:t>
            </w:r>
          </w:p>
        </w:tc>
        <w:tc>
          <w:tcPr>
            <w:tcW w:w="100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Z≥80000</w:t>
            </w:r>
          </w:p>
        </w:tc>
        <w:tc>
          <w:tcPr>
            <w:tcW w:w="1701"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5000≤Z＜80000</w:t>
            </w:r>
          </w:p>
        </w:tc>
        <w:tc>
          <w:tcPr>
            <w:tcW w:w="1426"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300≤Z＜5000</w:t>
            </w:r>
          </w:p>
        </w:tc>
        <w:tc>
          <w:tcPr>
            <w:tcW w:w="992"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批发业</w:t>
            </w:r>
          </w:p>
        </w:tc>
        <w:tc>
          <w:tcPr>
            <w:tcW w:w="1369"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从业人员(X)</w:t>
            </w:r>
          </w:p>
        </w:tc>
        <w:tc>
          <w:tcPr>
            <w:tcW w:w="82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人</w:t>
            </w:r>
          </w:p>
        </w:tc>
        <w:tc>
          <w:tcPr>
            <w:tcW w:w="100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X≥200</w:t>
            </w:r>
          </w:p>
        </w:tc>
        <w:tc>
          <w:tcPr>
            <w:tcW w:w="1701"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20≤X＜200</w:t>
            </w:r>
          </w:p>
        </w:tc>
        <w:tc>
          <w:tcPr>
            <w:tcW w:w="1426"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5≤X＜20</w:t>
            </w:r>
          </w:p>
        </w:tc>
        <w:tc>
          <w:tcPr>
            <w:tcW w:w="992"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noWrap w:val="0"/>
            <w:vAlign w:val="center"/>
          </w:tcPr>
          <w:p>
            <w:pPr>
              <w:widowControl/>
              <w:spacing w:line="360" w:lineRule="auto"/>
              <w:jc w:val="left"/>
              <w:rPr>
                <w:rFonts w:hint="eastAsia" w:ascii="宋体" w:hAnsi="宋体" w:cs="宋体"/>
                <w:kern w:val="0"/>
                <w:szCs w:val="21"/>
                <w:highlight w:val="none"/>
              </w:rPr>
            </w:pPr>
          </w:p>
        </w:tc>
        <w:tc>
          <w:tcPr>
            <w:tcW w:w="1369"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营业收入(Y)</w:t>
            </w:r>
          </w:p>
        </w:tc>
        <w:tc>
          <w:tcPr>
            <w:tcW w:w="82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万元</w:t>
            </w:r>
          </w:p>
        </w:tc>
        <w:tc>
          <w:tcPr>
            <w:tcW w:w="100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Y≥40000</w:t>
            </w:r>
          </w:p>
        </w:tc>
        <w:tc>
          <w:tcPr>
            <w:tcW w:w="1701"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5000≤Y＜40000</w:t>
            </w:r>
          </w:p>
        </w:tc>
        <w:tc>
          <w:tcPr>
            <w:tcW w:w="1426" w:type="dxa"/>
            <w:noWrap w:val="0"/>
            <w:vAlign w:val="center"/>
          </w:tcPr>
          <w:p>
            <w:pPr>
              <w:widowControl/>
              <w:spacing w:line="360" w:lineRule="auto"/>
              <w:ind w:left="-1" w:leftChars="-1" w:hanging="1"/>
              <w:jc w:val="left"/>
              <w:rPr>
                <w:rFonts w:hint="eastAsia" w:ascii="宋体" w:hAnsi="宋体" w:cs="宋体"/>
                <w:kern w:val="0"/>
                <w:szCs w:val="21"/>
                <w:highlight w:val="none"/>
              </w:rPr>
            </w:pPr>
            <w:r>
              <w:rPr>
                <w:rFonts w:hint="eastAsia" w:ascii="宋体" w:hAnsi="宋体" w:cs="宋体"/>
                <w:kern w:val="0"/>
                <w:szCs w:val="21"/>
                <w:highlight w:val="none"/>
              </w:rPr>
              <w:t>1000≤Y＜5000</w:t>
            </w:r>
          </w:p>
        </w:tc>
        <w:tc>
          <w:tcPr>
            <w:tcW w:w="992"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零售业</w:t>
            </w:r>
          </w:p>
        </w:tc>
        <w:tc>
          <w:tcPr>
            <w:tcW w:w="1369"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从业人员(X)</w:t>
            </w:r>
          </w:p>
        </w:tc>
        <w:tc>
          <w:tcPr>
            <w:tcW w:w="82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人</w:t>
            </w:r>
          </w:p>
        </w:tc>
        <w:tc>
          <w:tcPr>
            <w:tcW w:w="100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X≥300</w:t>
            </w:r>
          </w:p>
        </w:tc>
        <w:tc>
          <w:tcPr>
            <w:tcW w:w="1701"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50≤X＜300</w:t>
            </w:r>
          </w:p>
        </w:tc>
        <w:tc>
          <w:tcPr>
            <w:tcW w:w="1426" w:type="dxa"/>
            <w:noWrap w:val="0"/>
            <w:vAlign w:val="center"/>
          </w:tcPr>
          <w:p>
            <w:pPr>
              <w:widowControl/>
              <w:spacing w:line="360" w:lineRule="auto"/>
              <w:ind w:left="-1" w:leftChars="-1" w:hanging="1"/>
              <w:jc w:val="left"/>
              <w:rPr>
                <w:rFonts w:hint="eastAsia" w:ascii="宋体" w:hAnsi="宋体" w:cs="宋体"/>
                <w:kern w:val="0"/>
                <w:szCs w:val="21"/>
                <w:highlight w:val="none"/>
              </w:rPr>
            </w:pPr>
            <w:r>
              <w:rPr>
                <w:rFonts w:hint="eastAsia" w:ascii="宋体" w:hAnsi="宋体" w:cs="宋体"/>
                <w:kern w:val="0"/>
                <w:szCs w:val="21"/>
                <w:highlight w:val="none"/>
              </w:rPr>
              <w:t>10≤X＜50</w:t>
            </w:r>
          </w:p>
        </w:tc>
        <w:tc>
          <w:tcPr>
            <w:tcW w:w="992"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noWrap w:val="0"/>
            <w:vAlign w:val="center"/>
          </w:tcPr>
          <w:p>
            <w:pPr>
              <w:widowControl/>
              <w:spacing w:line="360" w:lineRule="auto"/>
              <w:jc w:val="left"/>
              <w:rPr>
                <w:rFonts w:hint="eastAsia" w:ascii="宋体" w:hAnsi="宋体" w:cs="宋体"/>
                <w:kern w:val="0"/>
                <w:szCs w:val="21"/>
                <w:highlight w:val="none"/>
              </w:rPr>
            </w:pPr>
          </w:p>
        </w:tc>
        <w:tc>
          <w:tcPr>
            <w:tcW w:w="1369"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营业收入(Y)</w:t>
            </w:r>
          </w:p>
        </w:tc>
        <w:tc>
          <w:tcPr>
            <w:tcW w:w="82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万元</w:t>
            </w:r>
          </w:p>
        </w:tc>
        <w:tc>
          <w:tcPr>
            <w:tcW w:w="100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Y≥20000</w:t>
            </w:r>
          </w:p>
        </w:tc>
        <w:tc>
          <w:tcPr>
            <w:tcW w:w="1701"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500≤Y＜20000</w:t>
            </w:r>
          </w:p>
        </w:tc>
        <w:tc>
          <w:tcPr>
            <w:tcW w:w="1426" w:type="dxa"/>
            <w:noWrap w:val="0"/>
            <w:vAlign w:val="center"/>
          </w:tcPr>
          <w:p>
            <w:pPr>
              <w:widowControl/>
              <w:spacing w:line="360" w:lineRule="auto"/>
              <w:ind w:left="-1" w:leftChars="-1" w:hanging="1"/>
              <w:jc w:val="left"/>
              <w:rPr>
                <w:rFonts w:hint="eastAsia" w:ascii="宋体" w:hAnsi="宋体" w:cs="宋体"/>
                <w:kern w:val="0"/>
                <w:szCs w:val="21"/>
                <w:highlight w:val="none"/>
              </w:rPr>
            </w:pPr>
            <w:r>
              <w:rPr>
                <w:rFonts w:hint="eastAsia" w:ascii="宋体" w:hAnsi="宋体" w:cs="宋体"/>
                <w:kern w:val="0"/>
                <w:szCs w:val="21"/>
                <w:highlight w:val="none"/>
              </w:rPr>
              <w:t>100≤Y＜500</w:t>
            </w:r>
          </w:p>
        </w:tc>
        <w:tc>
          <w:tcPr>
            <w:tcW w:w="992"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交通运输业 *</w:t>
            </w:r>
          </w:p>
        </w:tc>
        <w:tc>
          <w:tcPr>
            <w:tcW w:w="1369"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从业人员(X)</w:t>
            </w:r>
          </w:p>
        </w:tc>
        <w:tc>
          <w:tcPr>
            <w:tcW w:w="82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人</w:t>
            </w:r>
          </w:p>
        </w:tc>
        <w:tc>
          <w:tcPr>
            <w:tcW w:w="100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X≥1000</w:t>
            </w:r>
          </w:p>
        </w:tc>
        <w:tc>
          <w:tcPr>
            <w:tcW w:w="1701"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300≤X＜1000</w:t>
            </w:r>
          </w:p>
        </w:tc>
        <w:tc>
          <w:tcPr>
            <w:tcW w:w="1426"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20≤X＜300</w:t>
            </w:r>
          </w:p>
        </w:tc>
        <w:tc>
          <w:tcPr>
            <w:tcW w:w="992"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noWrap w:val="0"/>
            <w:vAlign w:val="center"/>
          </w:tcPr>
          <w:p>
            <w:pPr>
              <w:widowControl/>
              <w:spacing w:line="360" w:lineRule="auto"/>
              <w:jc w:val="left"/>
              <w:rPr>
                <w:rFonts w:hint="eastAsia" w:ascii="宋体" w:hAnsi="宋体" w:cs="宋体"/>
                <w:kern w:val="0"/>
                <w:szCs w:val="21"/>
                <w:highlight w:val="none"/>
              </w:rPr>
            </w:pPr>
          </w:p>
        </w:tc>
        <w:tc>
          <w:tcPr>
            <w:tcW w:w="1369"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营业收入(Y)</w:t>
            </w:r>
          </w:p>
        </w:tc>
        <w:tc>
          <w:tcPr>
            <w:tcW w:w="82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万元</w:t>
            </w:r>
          </w:p>
        </w:tc>
        <w:tc>
          <w:tcPr>
            <w:tcW w:w="100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Y≥30000</w:t>
            </w:r>
          </w:p>
        </w:tc>
        <w:tc>
          <w:tcPr>
            <w:tcW w:w="1701"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3000≤Y＜30000</w:t>
            </w:r>
          </w:p>
        </w:tc>
        <w:tc>
          <w:tcPr>
            <w:tcW w:w="1426"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200≤Y＜3000</w:t>
            </w:r>
          </w:p>
        </w:tc>
        <w:tc>
          <w:tcPr>
            <w:tcW w:w="992"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仓储业*</w:t>
            </w:r>
          </w:p>
        </w:tc>
        <w:tc>
          <w:tcPr>
            <w:tcW w:w="1369"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从业人员(X)</w:t>
            </w:r>
          </w:p>
        </w:tc>
        <w:tc>
          <w:tcPr>
            <w:tcW w:w="82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人</w:t>
            </w:r>
          </w:p>
        </w:tc>
        <w:tc>
          <w:tcPr>
            <w:tcW w:w="100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X≥200</w:t>
            </w:r>
          </w:p>
        </w:tc>
        <w:tc>
          <w:tcPr>
            <w:tcW w:w="1701" w:type="dxa"/>
            <w:noWrap w:val="0"/>
            <w:vAlign w:val="center"/>
          </w:tcPr>
          <w:p>
            <w:pPr>
              <w:widowControl/>
              <w:spacing w:line="360" w:lineRule="auto"/>
              <w:ind w:left="19" w:leftChars="-51" w:hanging="126" w:hangingChars="60"/>
              <w:jc w:val="left"/>
              <w:rPr>
                <w:rFonts w:hint="eastAsia" w:ascii="宋体" w:hAnsi="宋体" w:cs="宋体"/>
                <w:kern w:val="0"/>
                <w:szCs w:val="21"/>
                <w:highlight w:val="none"/>
              </w:rPr>
            </w:pPr>
            <w:r>
              <w:rPr>
                <w:rFonts w:hint="eastAsia" w:ascii="宋体" w:hAnsi="宋体" w:cs="宋体"/>
                <w:kern w:val="0"/>
                <w:szCs w:val="21"/>
                <w:highlight w:val="none"/>
              </w:rPr>
              <w:t>100≤X＜200</w:t>
            </w:r>
          </w:p>
        </w:tc>
        <w:tc>
          <w:tcPr>
            <w:tcW w:w="1426"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20≤X＜100</w:t>
            </w:r>
          </w:p>
        </w:tc>
        <w:tc>
          <w:tcPr>
            <w:tcW w:w="992"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noWrap w:val="0"/>
            <w:vAlign w:val="center"/>
          </w:tcPr>
          <w:p>
            <w:pPr>
              <w:widowControl/>
              <w:spacing w:line="360" w:lineRule="auto"/>
              <w:jc w:val="left"/>
              <w:rPr>
                <w:rFonts w:hint="eastAsia" w:ascii="宋体" w:hAnsi="宋体" w:cs="宋体"/>
                <w:kern w:val="0"/>
                <w:szCs w:val="21"/>
                <w:highlight w:val="none"/>
              </w:rPr>
            </w:pPr>
          </w:p>
        </w:tc>
        <w:tc>
          <w:tcPr>
            <w:tcW w:w="1369"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营业收入(Y)</w:t>
            </w:r>
          </w:p>
        </w:tc>
        <w:tc>
          <w:tcPr>
            <w:tcW w:w="82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万元</w:t>
            </w:r>
          </w:p>
        </w:tc>
        <w:tc>
          <w:tcPr>
            <w:tcW w:w="100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Y≥30000</w:t>
            </w:r>
          </w:p>
        </w:tc>
        <w:tc>
          <w:tcPr>
            <w:tcW w:w="1701"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1000≤Y＜30000</w:t>
            </w:r>
          </w:p>
        </w:tc>
        <w:tc>
          <w:tcPr>
            <w:tcW w:w="1426"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100≤Y＜1000</w:t>
            </w:r>
          </w:p>
        </w:tc>
        <w:tc>
          <w:tcPr>
            <w:tcW w:w="992"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邮政业</w:t>
            </w:r>
          </w:p>
        </w:tc>
        <w:tc>
          <w:tcPr>
            <w:tcW w:w="1369"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从业人员(X)</w:t>
            </w:r>
          </w:p>
        </w:tc>
        <w:tc>
          <w:tcPr>
            <w:tcW w:w="82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人</w:t>
            </w:r>
          </w:p>
        </w:tc>
        <w:tc>
          <w:tcPr>
            <w:tcW w:w="100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X≥1000</w:t>
            </w:r>
          </w:p>
        </w:tc>
        <w:tc>
          <w:tcPr>
            <w:tcW w:w="1701"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300≤X＜1000</w:t>
            </w:r>
          </w:p>
        </w:tc>
        <w:tc>
          <w:tcPr>
            <w:tcW w:w="1426"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20≤X＜300</w:t>
            </w:r>
          </w:p>
        </w:tc>
        <w:tc>
          <w:tcPr>
            <w:tcW w:w="992"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noWrap w:val="0"/>
            <w:vAlign w:val="center"/>
          </w:tcPr>
          <w:p>
            <w:pPr>
              <w:widowControl/>
              <w:spacing w:line="360" w:lineRule="auto"/>
              <w:jc w:val="left"/>
              <w:rPr>
                <w:rFonts w:hint="eastAsia" w:ascii="宋体" w:hAnsi="宋体" w:cs="宋体"/>
                <w:kern w:val="0"/>
                <w:szCs w:val="21"/>
                <w:highlight w:val="none"/>
              </w:rPr>
            </w:pPr>
          </w:p>
        </w:tc>
        <w:tc>
          <w:tcPr>
            <w:tcW w:w="1369"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营业收入(Y)</w:t>
            </w:r>
          </w:p>
        </w:tc>
        <w:tc>
          <w:tcPr>
            <w:tcW w:w="82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万元</w:t>
            </w:r>
          </w:p>
        </w:tc>
        <w:tc>
          <w:tcPr>
            <w:tcW w:w="100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Y≥30000</w:t>
            </w:r>
          </w:p>
        </w:tc>
        <w:tc>
          <w:tcPr>
            <w:tcW w:w="1701"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2000≤Y＜30000</w:t>
            </w:r>
          </w:p>
        </w:tc>
        <w:tc>
          <w:tcPr>
            <w:tcW w:w="1426"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100≤Y＜2000</w:t>
            </w:r>
          </w:p>
        </w:tc>
        <w:tc>
          <w:tcPr>
            <w:tcW w:w="992"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住宿业</w:t>
            </w:r>
          </w:p>
        </w:tc>
        <w:tc>
          <w:tcPr>
            <w:tcW w:w="1369"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从业人员(X)</w:t>
            </w:r>
          </w:p>
        </w:tc>
        <w:tc>
          <w:tcPr>
            <w:tcW w:w="82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人</w:t>
            </w:r>
          </w:p>
        </w:tc>
        <w:tc>
          <w:tcPr>
            <w:tcW w:w="100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X≥300</w:t>
            </w:r>
          </w:p>
        </w:tc>
        <w:tc>
          <w:tcPr>
            <w:tcW w:w="1701" w:type="dxa"/>
            <w:noWrap w:val="0"/>
            <w:vAlign w:val="center"/>
          </w:tcPr>
          <w:p>
            <w:pPr>
              <w:widowControl/>
              <w:spacing w:line="360" w:lineRule="auto"/>
              <w:ind w:left="19" w:leftChars="-51" w:hanging="126" w:hangingChars="60"/>
              <w:jc w:val="left"/>
              <w:rPr>
                <w:rFonts w:hint="eastAsia" w:ascii="宋体" w:hAnsi="宋体" w:cs="宋体"/>
                <w:kern w:val="0"/>
                <w:szCs w:val="21"/>
                <w:highlight w:val="none"/>
              </w:rPr>
            </w:pPr>
            <w:r>
              <w:rPr>
                <w:rFonts w:hint="eastAsia" w:ascii="宋体" w:hAnsi="宋体" w:cs="宋体"/>
                <w:kern w:val="0"/>
                <w:szCs w:val="21"/>
                <w:highlight w:val="none"/>
              </w:rPr>
              <w:t>100≤X＜300</w:t>
            </w:r>
          </w:p>
        </w:tc>
        <w:tc>
          <w:tcPr>
            <w:tcW w:w="1426"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10≤X＜100</w:t>
            </w:r>
          </w:p>
        </w:tc>
        <w:tc>
          <w:tcPr>
            <w:tcW w:w="992"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noWrap w:val="0"/>
            <w:vAlign w:val="center"/>
          </w:tcPr>
          <w:p>
            <w:pPr>
              <w:widowControl/>
              <w:spacing w:line="360" w:lineRule="auto"/>
              <w:jc w:val="left"/>
              <w:rPr>
                <w:rFonts w:hint="eastAsia" w:ascii="宋体" w:hAnsi="宋体" w:cs="宋体"/>
                <w:kern w:val="0"/>
                <w:szCs w:val="21"/>
                <w:highlight w:val="none"/>
              </w:rPr>
            </w:pPr>
          </w:p>
        </w:tc>
        <w:tc>
          <w:tcPr>
            <w:tcW w:w="1369"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营业收入(Y)</w:t>
            </w:r>
          </w:p>
        </w:tc>
        <w:tc>
          <w:tcPr>
            <w:tcW w:w="82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万元</w:t>
            </w:r>
          </w:p>
        </w:tc>
        <w:tc>
          <w:tcPr>
            <w:tcW w:w="100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Y≥10000</w:t>
            </w:r>
          </w:p>
        </w:tc>
        <w:tc>
          <w:tcPr>
            <w:tcW w:w="1701"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2000≤Y＜10000</w:t>
            </w:r>
          </w:p>
        </w:tc>
        <w:tc>
          <w:tcPr>
            <w:tcW w:w="1426"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100≤Y＜2000</w:t>
            </w:r>
          </w:p>
        </w:tc>
        <w:tc>
          <w:tcPr>
            <w:tcW w:w="992"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餐饮业</w:t>
            </w:r>
          </w:p>
        </w:tc>
        <w:tc>
          <w:tcPr>
            <w:tcW w:w="1369"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从业人员(X)</w:t>
            </w:r>
          </w:p>
        </w:tc>
        <w:tc>
          <w:tcPr>
            <w:tcW w:w="82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人</w:t>
            </w:r>
          </w:p>
        </w:tc>
        <w:tc>
          <w:tcPr>
            <w:tcW w:w="100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X≥300</w:t>
            </w:r>
          </w:p>
        </w:tc>
        <w:tc>
          <w:tcPr>
            <w:tcW w:w="1701" w:type="dxa"/>
            <w:noWrap w:val="0"/>
            <w:vAlign w:val="center"/>
          </w:tcPr>
          <w:p>
            <w:pPr>
              <w:widowControl/>
              <w:spacing w:line="360" w:lineRule="auto"/>
              <w:ind w:left="19" w:leftChars="-51" w:hanging="126" w:hangingChars="60"/>
              <w:jc w:val="left"/>
              <w:rPr>
                <w:rFonts w:hint="eastAsia" w:ascii="宋体" w:hAnsi="宋体" w:cs="宋体"/>
                <w:kern w:val="0"/>
                <w:szCs w:val="21"/>
                <w:highlight w:val="none"/>
              </w:rPr>
            </w:pPr>
            <w:r>
              <w:rPr>
                <w:rFonts w:hint="eastAsia" w:ascii="宋体" w:hAnsi="宋体" w:cs="宋体"/>
                <w:kern w:val="0"/>
                <w:szCs w:val="21"/>
                <w:highlight w:val="none"/>
              </w:rPr>
              <w:t>100≤X＜300</w:t>
            </w:r>
          </w:p>
        </w:tc>
        <w:tc>
          <w:tcPr>
            <w:tcW w:w="1426"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10≤X＜100</w:t>
            </w:r>
          </w:p>
        </w:tc>
        <w:tc>
          <w:tcPr>
            <w:tcW w:w="992"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noWrap w:val="0"/>
            <w:vAlign w:val="center"/>
          </w:tcPr>
          <w:p>
            <w:pPr>
              <w:widowControl/>
              <w:spacing w:line="360" w:lineRule="auto"/>
              <w:jc w:val="left"/>
              <w:rPr>
                <w:rFonts w:hint="eastAsia" w:ascii="宋体" w:hAnsi="宋体" w:cs="宋体"/>
                <w:kern w:val="0"/>
                <w:szCs w:val="21"/>
                <w:highlight w:val="none"/>
              </w:rPr>
            </w:pPr>
          </w:p>
        </w:tc>
        <w:tc>
          <w:tcPr>
            <w:tcW w:w="1369"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营业收入(Y)</w:t>
            </w:r>
          </w:p>
        </w:tc>
        <w:tc>
          <w:tcPr>
            <w:tcW w:w="82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万元</w:t>
            </w:r>
          </w:p>
        </w:tc>
        <w:tc>
          <w:tcPr>
            <w:tcW w:w="100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Y≥10000</w:t>
            </w:r>
          </w:p>
        </w:tc>
        <w:tc>
          <w:tcPr>
            <w:tcW w:w="1701"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2000≤Y＜10000</w:t>
            </w:r>
          </w:p>
        </w:tc>
        <w:tc>
          <w:tcPr>
            <w:tcW w:w="1426"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100≤Y＜2000</w:t>
            </w:r>
          </w:p>
        </w:tc>
        <w:tc>
          <w:tcPr>
            <w:tcW w:w="992"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信息传输业 *</w:t>
            </w:r>
          </w:p>
        </w:tc>
        <w:tc>
          <w:tcPr>
            <w:tcW w:w="1369"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从业人员(X)</w:t>
            </w:r>
          </w:p>
        </w:tc>
        <w:tc>
          <w:tcPr>
            <w:tcW w:w="82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人</w:t>
            </w:r>
          </w:p>
        </w:tc>
        <w:tc>
          <w:tcPr>
            <w:tcW w:w="100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X≥2000</w:t>
            </w:r>
          </w:p>
        </w:tc>
        <w:tc>
          <w:tcPr>
            <w:tcW w:w="1701"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100≤X＜2000</w:t>
            </w:r>
          </w:p>
        </w:tc>
        <w:tc>
          <w:tcPr>
            <w:tcW w:w="1426"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10≤X＜100</w:t>
            </w:r>
          </w:p>
        </w:tc>
        <w:tc>
          <w:tcPr>
            <w:tcW w:w="992"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noWrap w:val="0"/>
            <w:vAlign w:val="center"/>
          </w:tcPr>
          <w:p>
            <w:pPr>
              <w:widowControl/>
              <w:spacing w:line="360" w:lineRule="auto"/>
              <w:jc w:val="left"/>
              <w:rPr>
                <w:rFonts w:hint="eastAsia" w:ascii="宋体" w:hAnsi="宋体" w:cs="宋体"/>
                <w:kern w:val="0"/>
                <w:szCs w:val="21"/>
                <w:highlight w:val="none"/>
              </w:rPr>
            </w:pPr>
          </w:p>
        </w:tc>
        <w:tc>
          <w:tcPr>
            <w:tcW w:w="1369"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营业收入(Y)</w:t>
            </w:r>
          </w:p>
        </w:tc>
        <w:tc>
          <w:tcPr>
            <w:tcW w:w="82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万元</w:t>
            </w:r>
          </w:p>
        </w:tc>
        <w:tc>
          <w:tcPr>
            <w:tcW w:w="100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Y≥100000</w:t>
            </w:r>
          </w:p>
        </w:tc>
        <w:tc>
          <w:tcPr>
            <w:tcW w:w="1701"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1000≤Y＜100000</w:t>
            </w:r>
          </w:p>
        </w:tc>
        <w:tc>
          <w:tcPr>
            <w:tcW w:w="1426"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100≤Y＜1000</w:t>
            </w:r>
          </w:p>
        </w:tc>
        <w:tc>
          <w:tcPr>
            <w:tcW w:w="992"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restart"/>
            <w:noWrap w:val="0"/>
            <w:vAlign w:val="center"/>
          </w:tcPr>
          <w:p>
            <w:pPr>
              <w:widowControl/>
              <w:spacing w:line="360" w:lineRule="auto"/>
              <w:jc w:val="left"/>
              <w:rPr>
                <w:rFonts w:hint="eastAsia" w:ascii="宋体" w:hAnsi="宋体" w:cs="宋体"/>
                <w:spacing w:val="-12"/>
                <w:kern w:val="0"/>
                <w:szCs w:val="21"/>
                <w:highlight w:val="none"/>
              </w:rPr>
            </w:pPr>
            <w:r>
              <w:rPr>
                <w:rFonts w:hint="eastAsia" w:ascii="宋体" w:hAnsi="宋体" w:cs="宋体"/>
                <w:spacing w:val="-12"/>
                <w:kern w:val="0"/>
                <w:szCs w:val="21"/>
                <w:highlight w:val="none"/>
              </w:rPr>
              <w:t>软件和信息技术服</w:t>
            </w:r>
            <w:r>
              <w:rPr>
                <w:rFonts w:hint="eastAsia" w:ascii="宋体" w:hAnsi="宋体" w:cs="宋体"/>
                <w:kern w:val="0"/>
                <w:szCs w:val="21"/>
                <w:highlight w:val="none"/>
              </w:rPr>
              <w:t>务业</w:t>
            </w:r>
          </w:p>
        </w:tc>
        <w:tc>
          <w:tcPr>
            <w:tcW w:w="1369"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从业人员(X)</w:t>
            </w:r>
          </w:p>
        </w:tc>
        <w:tc>
          <w:tcPr>
            <w:tcW w:w="82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人</w:t>
            </w:r>
          </w:p>
        </w:tc>
        <w:tc>
          <w:tcPr>
            <w:tcW w:w="100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X≥300</w:t>
            </w:r>
          </w:p>
        </w:tc>
        <w:tc>
          <w:tcPr>
            <w:tcW w:w="1701" w:type="dxa"/>
            <w:noWrap w:val="0"/>
            <w:vAlign w:val="center"/>
          </w:tcPr>
          <w:p>
            <w:pPr>
              <w:widowControl/>
              <w:spacing w:line="360" w:lineRule="auto"/>
              <w:ind w:left="19" w:leftChars="-51" w:hanging="126" w:hangingChars="60"/>
              <w:jc w:val="left"/>
              <w:rPr>
                <w:rFonts w:hint="eastAsia" w:ascii="宋体" w:hAnsi="宋体" w:cs="宋体"/>
                <w:kern w:val="0"/>
                <w:szCs w:val="21"/>
                <w:highlight w:val="none"/>
              </w:rPr>
            </w:pPr>
            <w:r>
              <w:rPr>
                <w:rFonts w:hint="eastAsia" w:ascii="宋体" w:hAnsi="宋体" w:cs="宋体"/>
                <w:kern w:val="0"/>
                <w:szCs w:val="21"/>
                <w:highlight w:val="none"/>
              </w:rPr>
              <w:t>100≤X＜300</w:t>
            </w:r>
          </w:p>
        </w:tc>
        <w:tc>
          <w:tcPr>
            <w:tcW w:w="1426"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10≤X＜100</w:t>
            </w:r>
          </w:p>
        </w:tc>
        <w:tc>
          <w:tcPr>
            <w:tcW w:w="992"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exact"/>
          <w:jc w:val="center"/>
        </w:trPr>
        <w:tc>
          <w:tcPr>
            <w:tcW w:w="2113" w:type="dxa"/>
            <w:vMerge w:val="continue"/>
            <w:noWrap w:val="0"/>
            <w:vAlign w:val="center"/>
          </w:tcPr>
          <w:p>
            <w:pPr>
              <w:widowControl/>
              <w:spacing w:line="360" w:lineRule="auto"/>
              <w:jc w:val="left"/>
              <w:rPr>
                <w:rFonts w:hint="eastAsia" w:ascii="宋体" w:hAnsi="宋体" w:cs="宋体"/>
                <w:spacing w:val="-12"/>
                <w:kern w:val="0"/>
                <w:szCs w:val="21"/>
                <w:highlight w:val="none"/>
              </w:rPr>
            </w:pPr>
          </w:p>
        </w:tc>
        <w:tc>
          <w:tcPr>
            <w:tcW w:w="1369"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营业收入(Y)</w:t>
            </w:r>
          </w:p>
        </w:tc>
        <w:tc>
          <w:tcPr>
            <w:tcW w:w="82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万元</w:t>
            </w:r>
          </w:p>
        </w:tc>
        <w:tc>
          <w:tcPr>
            <w:tcW w:w="100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Y≥10000</w:t>
            </w:r>
          </w:p>
        </w:tc>
        <w:tc>
          <w:tcPr>
            <w:tcW w:w="1701"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1000≤Y＜10000</w:t>
            </w:r>
          </w:p>
        </w:tc>
        <w:tc>
          <w:tcPr>
            <w:tcW w:w="1426"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50≤Y＜1000</w:t>
            </w:r>
          </w:p>
        </w:tc>
        <w:tc>
          <w:tcPr>
            <w:tcW w:w="992"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restart"/>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房地产开发经营</w:t>
            </w:r>
          </w:p>
        </w:tc>
        <w:tc>
          <w:tcPr>
            <w:tcW w:w="1369"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营业收入(Y)</w:t>
            </w:r>
          </w:p>
        </w:tc>
        <w:tc>
          <w:tcPr>
            <w:tcW w:w="82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万元</w:t>
            </w:r>
          </w:p>
        </w:tc>
        <w:tc>
          <w:tcPr>
            <w:tcW w:w="100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Y≥200000</w:t>
            </w:r>
          </w:p>
        </w:tc>
        <w:tc>
          <w:tcPr>
            <w:tcW w:w="1701"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1000≤Y＜200000</w:t>
            </w:r>
          </w:p>
        </w:tc>
        <w:tc>
          <w:tcPr>
            <w:tcW w:w="1426"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100≤Y＜1000</w:t>
            </w:r>
          </w:p>
        </w:tc>
        <w:tc>
          <w:tcPr>
            <w:tcW w:w="992"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continue"/>
            <w:noWrap w:val="0"/>
            <w:vAlign w:val="center"/>
          </w:tcPr>
          <w:p>
            <w:pPr>
              <w:widowControl/>
              <w:spacing w:line="360" w:lineRule="auto"/>
              <w:jc w:val="left"/>
              <w:rPr>
                <w:rFonts w:hint="eastAsia" w:ascii="宋体" w:hAnsi="宋体" w:cs="宋体"/>
                <w:kern w:val="0"/>
                <w:szCs w:val="21"/>
                <w:highlight w:val="none"/>
              </w:rPr>
            </w:pPr>
          </w:p>
        </w:tc>
        <w:tc>
          <w:tcPr>
            <w:tcW w:w="1369"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资产总额(Z)</w:t>
            </w:r>
          </w:p>
        </w:tc>
        <w:tc>
          <w:tcPr>
            <w:tcW w:w="82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万元</w:t>
            </w:r>
          </w:p>
        </w:tc>
        <w:tc>
          <w:tcPr>
            <w:tcW w:w="100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Z≥10000</w:t>
            </w:r>
          </w:p>
        </w:tc>
        <w:tc>
          <w:tcPr>
            <w:tcW w:w="1701"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5000≤Z＜10000</w:t>
            </w:r>
          </w:p>
        </w:tc>
        <w:tc>
          <w:tcPr>
            <w:tcW w:w="1426"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2000≤Z＜5000</w:t>
            </w:r>
          </w:p>
        </w:tc>
        <w:tc>
          <w:tcPr>
            <w:tcW w:w="992"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restart"/>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物业管理</w:t>
            </w:r>
          </w:p>
        </w:tc>
        <w:tc>
          <w:tcPr>
            <w:tcW w:w="1369"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从业人员(X)</w:t>
            </w:r>
          </w:p>
        </w:tc>
        <w:tc>
          <w:tcPr>
            <w:tcW w:w="82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人</w:t>
            </w:r>
          </w:p>
        </w:tc>
        <w:tc>
          <w:tcPr>
            <w:tcW w:w="100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X≥1000</w:t>
            </w:r>
          </w:p>
        </w:tc>
        <w:tc>
          <w:tcPr>
            <w:tcW w:w="1701"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300≤X＜1000</w:t>
            </w:r>
          </w:p>
        </w:tc>
        <w:tc>
          <w:tcPr>
            <w:tcW w:w="1426"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100≤X＜300</w:t>
            </w:r>
          </w:p>
        </w:tc>
        <w:tc>
          <w:tcPr>
            <w:tcW w:w="992"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continue"/>
            <w:noWrap w:val="0"/>
            <w:vAlign w:val="center"/>
          </w:tcPr>
          <w:p>
            <w:pPr>
              <w:widowControl/>
              <w:spacing w:line="360" w:lineRule="auto"/>
              <w:jc w:val="left"/>
              <w:rPr>
                <w:rFonts w:hint="eastAsia" w:ascii="宋体" w:hAnsi="宋体" w:cs="宋体"/>
                <w:kern w:val="0"/>
                <w:szCs w:val="21"/>
                <w:highlight w:val="none"/>
              </w:rPr>
            </w:pPr>
          </w:p>
        </w:tc>
        <w:tc>
          <w:tcPr>
            <w:tcW w:w="1369"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营业收入(Y)</w:t>
            </w:r>
          </w:p>
        </w:tc>
        <w:tc>
          <w:tcPr>
            <w:tcW w:w="82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万元</w:t>
            </w:r>
          </w:p>
        </w:tc>
        <w:tc>
          <w:tcPr>
            <w:tcW w:w="100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Y≥5000</w:t>
            </w:r>
          </w:p>
        </w:tc>
        <w:tc>
          <w:tcPr>
            <w:tcW w:w="1701" w:type="dxa"/>
            <w:noWrap w:val="0"/>
            <w:vAlign w:val="center"/>
          </w:tcPr>
          <w:p>
            <w:pPr>
              <w:widowControl/>
              <w:spacing w:line="360" w:lineRule="auto"/>
              <w:ind w:left="19" w:leftChars="-51" w:hanging="126" w:hangingChars="60"/>
              <w:jc w:val="left"/>
              <w:rPr>
                <w:rFonts w:hint="eastAsia" w:ascii="宋体" w:hAnsi="宋体" w:cs="宋体"/>
                <w:kern w:val="0"/>
                <w:szCs w:val="21"/>
                <w:highlight w:val="none"/>
              </w:rPr>
            </w:pPr>
            <w:r>
              <w:rPr>
                <w:rFonts w:hint="eastAsia" w:ascii="宋体" w:hAnsi="宋体" w:cs="宋体"/>
                <w:kern w:val="0"/>
                <w:szCs w:val="21"/>
                <w:highlight w:val="none"/>
              </w:rPr>
              <w:t>1000≤Y＜5000</w:t>
            </w:r>
          </w:p>
        </w:tc>
        <w:tc>
          <w:tcPr>
            <w:tcW w:w="1426"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500≤Y＜1000</w:t>
            </w:r>
          </w:p>
        </w:tc>
        <w:tc>
          <w:tcPr>
            <w:tcW w:w="992"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restart"/>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租赁和商务服务业</w:t>
            </w:r>
          </w:p>
        </w:tc>
        <w:tc>
          <w:tcPr>
            <w:tcW w:w="1369"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从业人员(X)</w:t>
            </w:r>
          </w:p>
        </w:tc>
        <w:tc>
          <w:tcPr>
            <w:tcW w:w="82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人</w:t>
            </w:r>
          </w:p>
        </w:tc>
        <w:tc>
          <w:tcPr>
            <w:tcW w:w="100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X≥300</w:t>
            </w:r>
          </w:p>
        </w:tc>
        <w:tc>
          <w:tcPr>
            <w:tcW w:w="1701" w:type="dxa"/>
            <w:noWrap w:val="0"/>
            <w:vAlign w:val="center"/>
          </w:tcPr>
          <w:p>
            <w:pPr>
              <w:widowControl/>
              <w:spacing w:line="360" w:lineRule="auto"/>
              <w:ind w:left="19" w:leftChars="-51" w:hanging="126" w:hangingChars="60"/>
              <w:jc w:val="left"/>
              <w:rPr>
                <w:rFonts w:hint="eastAsia" w:ascii="宋体" w:hAnsi="宋体" w:cs="宋体"/>
                <w:kern w:val="0"/>
                <w:szCs w:val="21"/>
                <w:highlight w:val="none"/>
              </w:rPr>
            </w:pPr>
            <w:r>
              <w:rPr>
                <w:rFonts w:hint="eastAsia" w:ascii="宋体" w:hAnsi="宋体" w:cs="宋体"/>
                <w:kern w:val="0"/>
                <w:szCs w:val="21"/>
                <w:highlight w:val="none"/>
              </w:rPr>
              <w:t>100≤X＜300</w:t>
            </w:r>
          </w:p>
        </w:tc>
        <w:tc>
          <w:tcPr>
            <w:tcW w:w="1426"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10≤X＜100</w:t>
            </w:r>
          </w:p>
        </w:tc>
        <w:tc>
          <w:tcPr>
            <w:tcW w:w="992"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exact"/>
          <w:jc w:val="center"/>
        </w:trPr>
        <w:tc>
          <w:tcPr>
            <w:tcW w:w="2113" w:type="dxa"/>
            <w:vMerge w:val="continue"/>
            <w:noWrap w:val="0"/>
            <w:vAlign w:val="center"/>
          </w:tcPr>
          <w:p>
            <w:pPr>
              <w:widowControl/>
              <w:spacing w:line="360" w:lineRule="auto"/>
              <w:jc w:val="left"/>
              <w:rPr>
                <w:rFonts w:hint="eastAsia" w:ascii="宋体" w:hAnsi="宋体" w:cs="宋体"/>
                <w:kern w:val="0"/>
                <w:szCs w:val="21"/>
                <w:highlight w:val="none"/>
              </w:rPr>
            </w:pPr>
          </w:p>
        </w:tc>
        <w:tc>
          <w:tcPr>
            <w:tcW w:w="1369"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资产总额(Z)</w:t>
            </w:r>
          </w:p>
        </w:tc>
        <w:tc>
          <w:tcPr>
            <w:tcW w:w="82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万元</w:t>
            </w:r>
          </w:p>
        </w:tc>
        <w:tc>
          <w:tcPr>
            <w:tcW w:w="100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Z≥120000</w:t>
            </w:r>
          </w:p>
        </w:tc>
        <w:tc>
          <w:tcPr>
            <w:tcW w:w="1701"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8000≤Z＜120000</w:t>
            </w:r>
          </w:p>
        </w:tc>
        <w:tc>
          <w:tcPr>
            <w:tcW w:w="1426"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100≤Z＜8000</w:t>
            </w:r>
          </w:p>
        </w:tc>
        <w:tc>
          <w:tcPr>
            <w:tcW w:w="992"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其他未列明行业 *</w:t>
            </w:r>
          </w:p>
        </w:tc>
        <w:tc>
          <w:tcPr>
            <w:tcW w:w="1369"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从业人员(X)</w:t>
            </w:r>
          </w:p>
        </w:tc>
        <w:tc>
          <w:tcPr>
            <w:tcW w:w="82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人</w:t>
            </w:r>
          </w:p>
        </w:tc>
        <w:tc>
          <w:tcPr>
            <w:tcW w:w="100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X≥300</w:t>
            </w:r>
          </w:p>
        </w:tc>
        <w:tc>
          <w:tcPr>
            <w:tcW w:w="1701" w:type="dxa"/>
            <w:noWrap w:val="0"/>
            <w:vAlign w:val="center"/>
          </w:tcPr>
          <w:p>
            <w:pPr>
              <w:widowControl/>
              <w:spacing w:line="360" w:lineRule="auto"/>
              <w:ind w:left="19" w:leftChars="-51" w:hanging="126" w:hangingChars="60"/>
              <w:jc w:val="left"/>
              <w:rPr>
                <w:rFonts w:hint="eastAsia" w:ascii="宋体" w:hAnsi="宋体" w:cs="宋体"/>
                <w:kern w:val="0"/>
                <w:szCs w:val="21"/>
                <w:highlight w:val="none"/>
              </w:rPr>
            </w:pPr>
            <w:r>
              <w:rPr>
                <w:rFonts w:hint="eastAsia" w:ascii="宋体" w:hAnsi="宋体" w:cs="宋体"/>
                <w:kern w:val="0"/>
                <w:szCs w:val="21"/>
                <w:highlight w:val="none"/>
              </w:rPr>
              <w:t>100≤X＜300</w:t>
            </w:r>
          </w:p>
        </w:tc>
        <w:tc>
          <w:tcPr>
            <w:tcW w:w="1426"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10≤X＜100</w:t>
            </w:r>
          </w:p>
        </w:tc>
        <w:tc>
          <w:tcPr>
            <w:tcW w:w="992"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X＜10</w:t>
            </w:r>
          </w:p>
        </w:tc>
      </w:tr>
    </w:tbl>
    <w:p>
      <w:pPr>
        <w:adjustRightInd w:val="0"/>
        <w:snapToGrid w:val="0"/>
        <w:spacing w:line="360" w:lineRule="auto"/>
        <w:ind w:firstLine="444" w:firstLineChars="200"/>
        <w:rPr>
          <w:rFonts w:hint="eastAsia" w:ascii="宋体" w:hAnsi="宋体" w:cs="宋体"/>
          <w:spacing w:val="6"/>
          <w:szCs w:val="21"/>
          <w:highlight w:val="none"/>
        </w:rPr>
      </w:pPr>
      <w:r>
        <w:rPr>
          <w:rFonts w:hint="eastAsia" w:ascii="宋体" w:hAnsi="宋体" w:cs="宋体"/>
          <w:spacing w:val="6"/>
          <w:szCs w:val="21"/>
          <w:highlight w:val="none"/>
        </w:rPr>
        <w:t>说明：</w:t>
      </w:r>
    </w:p>
    <w:p>
      <w:pPr>
        <w:adjustRightInd w:val="0"/>
        <w:snapToGrid w:val="0"/>
        <w:spacing w:line="360" w:lineRule="auto"/>
        <w:ind w:firstLine="444" w:firstLineChars="200"/>
        <w:rPr>
          <w:rFonts w:hint="eastAsia" w:ascii="宋体" w:hAnsi="宋体" w:cs="宋体"/>
          <w:spacing w:val="6"/>
          <w:szCs w:val="21"/>
          <w:highlight w:val="none"/>
        </w:rPr>
      </w:pPr>
      <w:r>
        <w:rPr>
          <w:rFonts w:hint="eastAsia" w:ascii="宋体" w:hAnsi="宋体" w:cs="宋体"/>
          <w:spacing w:val="6"/>
          <w:szCs w:val="21"/>
          <w:highlight w:val="none"/>
        </w:rPr>
        <w:t>　　1.大型、中型和小型企业须同时满足所列指标的下限，否则下划一档；微型企业只须满足所列指标中的一项即可。</w:t>
      </w:r>
    </w:p>
    <w:p>
      <w:pPr>
        <w:adjustRightInd w:val="0"/>
        <w:snapToGrid w:val="0"/>
        <w:spacing w:line="360" w:lineRule="auto"/>
        <w:ind w:firstLine="444" w:firstLineChars="200"/>
        <w:rPr>
          <w:rFonts w:hint="eastAsia" w:ascii="宋体" w:hAnsi="宋体" w:cs="宋体"/>
          <w:spacing w:val="6"/>
          <w:szCs w:val="21"/>
          <w:highlight w:val="none"/>
        </w:rPr>
      </w:pPr>
      <w:r>
        <w:rPr>
          <w:rFonts w:hint="eastAsia" w:ascii="宋体" w:hAnsi="宋体" w:cs="宋体"/>
          <w:spacing w:val="6"/>
          <w:szCs w:val="21"/>
          <w:highlight w:val="none"/>
        </w:rPr>
        <w:t>　　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adjustRightInd w:val="0"/>
        <w:snapToGrid w:val="0"/>
        <w:spacing w:line="360" w:lineRule="auto"/>
        <w:ind w:firstLine="444" w:firstLineChars="200"/>
        <w:rPr>
          <w:rFonts w:hint="eastAsia" w:ascii="宋体" w:hAnsi="宋体" w:cs="宋体"/>
          <w:spacing w:val="6"/>
          <w:szCs w:val="21"/>
          <w:highlight w:val="none"/>
        </w:rPr>
      </w:pPr>
      <w:r>
        <w:rPr>
          <w:rFonts w:hint="eastAsia" w:ascii="宋体" w:hAnsi="宋体" w:cs="宋体"/>
          <w:spacing w:val="6"/>
          <w:szCs w:val="21"/>
          <w:highlight w:val="none"/>
        </w:rPr>
        <w:t>　　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pStyle w:val="3"/>
        <w:rPr>
          <w:rStyle w:val="7"/>
          <w:rFonts w:hint="eastAsia" w:ascii="宋体" w:hAnsi="宋体" w:cs="宋体"/>
          <w:b/>
          <w:highlight w:val="none"/>
        </w:rPr>
      </w:pPr>
      <w:r>
        <w:rPr>
          <w:rFonts w:hint="eastAsia"/>
          <w:highlight w:val="none"/>
          <w:lang w:val="en-US"/>
        </w:rPr>
        <w:br w:type="page"/>
      </w:r>
      <w:r>
        <w:rPr>
          <w:rStyle w:val="7"/>
          <w:rFonts w:hint="eastAsia" w:ascii="宋体" w:hAnsi="宋体" w:cs="宋体"/>
          <w:b/>
          <w:highlight w:val="none"/>
        </w:rPr>
        <w:t>附件4：关于促进残疾人就业政府采购政策的通知</w:t>
      </w:r>
    </w:p>
    <w:p>
      <w:pPr>
        <w:widowControl/>
        <w:wordWrap w:val="0"/>
        <w:spacing w:line="360" w:lineRule="auto"/>
        <w:ind w:firstLine="420"/>
        <w:jc w:val="left"/>
        <w:rPr>
          <w:rFonts w:hint="eastAsia" w:ascii="宋体" w:hAnsi="宋体" w:cs="宋体"/>
          <w:szCs w:val="21"/>
          <w:highlight w:val="none"/>
        </w:rPr>
      </w:pPr>
      <w:r>
        <w:rPr>
          <w:rFonts w:hint="eastAsia" w:ascii="宋体" w:hAnsi="宋体" w:cs="宋体"/>
          <w:kern w:val="0"/>
          <w:szCs w:val="21"/>
          <w:highlight w:val="none"/>
          <w:lang w:bidi="ar"/>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pPr>
        <w:widowControl/>
        <w:wordWrap w:val="0"/>
        <w:spacing w:line="360" w:lineRule="auto"/>
        <w:ind w:firstLine="420"/>
        <w:jc w:val="left"/>
        <w:rPr>
          <w:rFonts w:hint="eastAsia" w:ascii="宋体" w:hAnsi="宋体" w:cs="宋体"/>
          <w:szCs w:val="21"/>
          <w:highlight w:val="none"/>
        </w:rPr>
      </w:pPr>
      <w:r>
        <w:rPr>
          <w:rFonts w:hint="eastAsia" w:ascii="宋体" w:hAnsi="宋体" w:cs="宋体"/>
          <w:kern w:val="0"/>
          <w:szCs w:val="21"/>
          <w:highlight w:val="none"/>
          <w:lang w:bidi="ar"/>
        </w:rPr>
        <w:t>为了发挥政府采购促进残疾人就业的作用，进一步保障残疾人权益，依照《政府采购法》、《残疾人保障法》等法律法规及相关规定，现就促进残疾人就业政府采购政策通知如下：</w:t>
      </w:r>
    </w:p>
    <w:p>
      <w:pPr>
        <w:widowControl/>
        <w:wordWrap w:val="0"/>
        <w:spacing w:line="360" w:lineRule="auto"/>
        <w:ind w:firstLine="420"/>
        <w:jc w:val="left"/>
        <w:rPr>
          <w:rFonts w:hint="eastAsia" w:ascii="宋体" w:hAnsi="宋体" w:cs="宋体"/>
          <w:szCs w:val="21"/>
          <w:highlight w:val="none"/>
        </w:rPr>
      </w:pPr>
      <w:r>
        <w:rPr>
          <w:rFonts w:hint="eastAsia" w:ascii="宋体" w:hAnsi="宋体" w:cs="宋体"/>
          <w:kern w:val="0"/>
          <w:szCs w:val="21"/>
          <w:highlight w:val="none"/>
          <w:lang w:bidi="ar"/>
        </w:rPr>
        <w:t>一、享受政府采购支持政策的残疾人福利性单位应当同时满足以下条件：</w:t>
      </w:r>
    </w:p>
    <w:p>
      <w:pPr>
        <w:widowControl/>
        <w:wordWrap w:val="0"/>
        <w:spacing w:line="360" w:lineRule="auto"/>
        <w:ind w:firstLine="420"/>
        <w:jc w:val="left"/>
        <w:rPr>
          <w:rFonts w:hint="eastAsia" w:ascii="宋体" w:hAnsi="宋体" w:cs="宋体"/>
          <w:szCs w:val="21"/>
          <w:highlight w:val="none"/>
        </w:rPr>
      </w:pPr>
      <w:r>
        <w:rPr>
          <w:rFonts w:hint="eastAsia" w:ascii="宋体" w:hAnsi="宋体" w:cs="宋体"/>
          <w:kern w:val="0"/>
          <w:szCs w:val="21"/>
          <w:highlight w:val="none"/>
          <w:lang w:bidi="ar"/>
        </w:rPr>
        <w:t>(一) 安置的残疾人占本单位在职职工人数的比例不低于25%(含25%)，并且安置的残疾人人数不少于10人(含10人)；</w:t>
      </w:r>
    </w:p>
    <w:p>
      <w:pPr>
        <w:widowControl/>
        <w:wordWrap w:val="0"/>
        <w:spacing w:line="360" w:lineRule="auto"/>
        <w:ind w:firstLine="420"/>
        <w:jc w:val="left"/>
        <w:rPr>
          <w:rFonts w:hint="eastAsia" w:ascii="宋体" w:hAnsi="宋体" w:cs="宋体"/>
          <w:szCs w:val="21"/>
          <w:highlight w:val="none"/>
        </w:rPr>
      </w:pPr>
      <w:r>
        <w:rPr>
          <w:rFonts w:hint="eastAsia" w:ascii="宋体" w:hAnsi="宋体" w:cs="宋体"/>
          <w:kern w:val="0"/>
          <w:szCs w:val="21"/>
          <w:highlight w:val="none"/>
          <w:lang w:bidi="ar"/>
        </w:rPr>
        <w:t>(二) 依法与安置的每位残疾人签订了一年以上(含一年)的劳动合同或服务协议；</w:t>
      </w:r>
    </w:p>
    <w:p>
      <w:pPr>
        <w:widowControl/>
        <w:wordWrap w:val="0"/>
        <w:spacing w:line="360" w:lineRule="auto"/>
        <w:ind w:firstLine="420"/>
        <w:jc w:val="left"/>
        <w:rPr>
          <w:rFonts w:hint="eastAsia" w:ascii="宋体" w:hAnsi="宋体" w:cs="宋体"/>
          <w:szCs w:val="21"/>
          <w:highlight w:val="none"/>
        </w:rPr>
      </w:pPr>
      <w:r>
        <w:rPr>
          <w:rFonts w:hint="eastAsia" w:ascii="宋体" w:hAnsi="宋体" w:cs="宋体"/>
          <w:kern w:val="0"/>
          <w:szCs w:val="21"/>
          <w:highlight w:val="none"/>
          <w:lang w:bidi="ar"/>
        </w:rPr>
        <w:t>(三) 为安置的每位残疾人按月足额缴纳了基本养老保险、基本医疗保险、失业保险、工伤保险和生育保险等社会保险费；</w:t>
      </w:r>
    </w:p>
    <w:p>
      <w:pPr>
        <w:widowControl/>
        <w:wordWrap w:val="0"/>
        <w:spacing w:line="360" w:lineRule="auto"/>
        <w:ind w:firstLine="420"/>
        <w:jc w:val="left"/>
        <w:rPr>
          <w:rFonts w:hint="eastAsia" w:ascii="宋体" w:hAnsi="宋体" w:cs="宋体"/>
          <w:szCs w:val="21"/>
          <w:highlight w:val="none"/>
        </w:rPr>
      </w:pPr>
      <w:r>
        <w:rPr>
          <w:rFonts w:hint="eastAsia" w:ascii="宋体" w:hAnsi="宋体" w:cs="宋体"/>
          <w:kern w:val="0"/>
          <w:szCs w:val="21"/>
          <w:highlight w:val="none"/>
          <w:lang w:bidi="ar"/>
        </w:rPr>
        <w:t>(四) 通过银行等金融机构向安置的每位残疾人，按月支付了不低于单位所在区县适用的经省级人民政府批准的月最低工资标准的工资；</w:t>
      </w:r>
    </w:p>
    <w:p>
      <w:pPr>
        <w:widowControl/>
        <w:wordWrap w:val="0"/>
        <w:spacing w:line="360" w:lineRule="auto"/>
        <w:ind w:firstLine="420"/>
        <w:jc w:val="left"/>
        <w:rPr>
          <w:rFonts w:hint="eastAsia" w:ascii="宋体" w:hAnsi="宋体" w:cs="宋体"/>
          <w:szCs w:val="21"/>
          <w:highlight w:val="none"/>
        </w:rPr>
      </w:pPr>
      <w:r>
        <w:rPr>
          <w:rFonts w:hint="eastAsia" w:ascii="宋体" w:hAnsi="宋体" w:cs="宋体"/>
          <w:kern w:val="0"/>
          <w:szCs w:val="21"/>
          <w:highlight w:val="none"/>
          <w:lang w:bidi="ar"/>
        </w:rPr>
        <w:t>(五) 提供本单位制造的货物、承担的工程或者服务(以下简称产品)，或者提供其他残疾人福利性单位制造的货物(不包括使用非残疾人福利性单位注册商标的货物)。</w:t>
      </w:r>
    </w:p>
    <w:p>
      <w:pPr>
        <w:widowControl/>
        <w:wordWrap w:val="0"/>
        <w:spacing w:line="360" w:lineRule="auto"/>
        <w:ind w:firstLine="420"/>
        <w:jc w:val="left"/>
        <w:rPr>
          <w:rFonts w:hint="eastAsia" w:ascii="宋体" w:hAnsi="宋体" w:cs="宋体"/>
          <w:szCs w:val="21"/>
          <w:highlight w:val="none"/>
        </w:rPr>
      </w:pPr>
      <w:r>
        <w:rPr>
          <w:rFonts w:hint="eastAsia" w:ascii="宋体" w:hAnsi="宋体" w:cs="宋体"/>
          <w:kern w:val="0"/>
          <w:szCs w:val="21"/>
          <w:highlight w:val="none"/>
          <w:lang w:bidi="ar"/>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wordWrap w:val="0"/>
        <w:spacing w:line="360" w:lineRule="auto"/>
        <w:ind w:firstLine="420"/>
        <w:jc w:val="left"/>
        <w:rPr>
          <w:rFonts w:hint="eastAsia" w:ascii="宋体" w:hAnsi="宋体" w:cs="宋体"/>
          <w:szCs w:val="21"/>
          <w:highlight w:val="none"/>
        </w:rPr>
      </w:pPr>
      <w:r>
        <w:rPr>
          <w:rFonts w:hint="eastAsia" w:ascii="宋体" w:hAnsi="宋体" w:cs="宋体"/>
          <w:kern w:val="0"/>
          <w:szCs w:val="21"/>
          <w:highlight w:val="none"/>
          <w:lang w:bidi="ar"/>
        </w:rPr>
        <w:t>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widowControl/>
        <w:wordWrap w:val="0"/>
        <w:spacing w:line="360" w:lineRule="auto"/>
        <w:ind w:firstLine="420"/>
        <w:jc w:val="left"/>
        <w:rPr>
          <w:rFonts w:hint="eastAsia" w:ascii="宋体" w:hAnsi="宋体" w:cs="宋体"/>
          <w:szCs w:val="21"/>
          <w:highlight w:val="none"/>
        </w:rPr>
      </w:pPr>
      <w:r>
        <w:rPr>
          <w:rFonts w:hint="eastAsia" w:ascii="宋体" w:hAnsi="宋体" w:cs="宋体"/>
          <w:kern w:val="0"/>
          <w:szCs w:val="21"/>
          <w:highlight w:val="none"/>
          <w:lang w:bidi="ar"/>
        </w:rPr>
        <w:t>中标、成交供应商为残疾人福利性单位的，采购人或者其委托的采购代理机构应当随中标、成交结果同时公告其《残疾人福利性单位声明函》，接受社会监督。</w:t>
      </w:r>
    </w:p>
    <w:p>
      <w:pPr>
        <w:widowControl/>
        <w:wordWrap w:val="0"/>
        <w:spacing w:line="360" w:lineRule="auto"/>
        <w:ind w:firstLine="420"/>
        <w:jc w:val="left"/>
        <w:rPr>
          <w:rFonts w:hint="eastAsia" w:ascii="宋体" w:hAnsi="宋体" w:cs="宋体"/>
          <w:szCs w:val="21"/>
          <w:highlight w:val="none"/>
        </w:rPr>
      </w:pPr>
      <w:r>
        <w:rPr>
          <w:rFonts w:hint="eastAsia" w:ascii="宋体" w:hAnsi="宋体" w:cs="宋体"/>
          <w:kern w:val="0"/>
          <w:szCs w:val="21"/>
          <w:highlight w:val="none"/>
          <w:lang w:bidi="ar"/>
        </w:rPr>
        <w:t>供应商提供的《残疾人福利性单位声明函》与事实不符的，依照《政府采购法》第七十七条第一款的规定追究法律责任。</w:t>
      </w:r>
    </w:p>
    <w:p>
      <w:pPr>
        <w:widowControl/>
        <w:wordWrap w:val="0"/>
        <w:spacing w:line="360" w:lineRule="auto"/>
        <w:ind w:firstLine="420"/>
        <w:jc w:val="left"/>
        <w:rPr>
          <w:rFonts w:hint="eastAsia" w:ascii="宋体" w:hAnsi="宋体" w:cs="宋体"/>
          <w:szCs w:val="21"/>
          <w:highlight w:val="none"/>
        </w:rPr>
      </w:pPr>
      <w:r>
        <w:rPr>
          <w:rFonts w:hint="eastAsia" w:ascii="宋体" w:hAnsi="宋体" w:cs="宋体"/>
          <w:kern w:val="0"/>
          <w:szCs w:val="21"/>
          <w:highlight w:val="none"/>
          <w:lang w:bidi="ar"/>
        </w:rPr>
        <w:t>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widowControl/>
        <w:wordWrap w:val="0"/>
        <w:spacing w:line="360" w:lineRule="auto"/>
        <w:ind w:firstLine="420"/>
        <w:jc w:val="left"/>
        <w:rPr>
          <w:rFonts w:hint="eastAsia" w:ascii="宋体" w:hAnsi="宋体" w:cs="宋体"/>
          <w:szCs w:val="21"/>
          <w:highlight w:val="none"/>
        </w:rPr>
      </w:pPr>
      <w:r>
        <w:rPr>
          <w:rFonts w:hint="eastAsia" w:ascii="宋体" w:hAnsi="宋体" w:cs="宋体"/>
          <w:kern w:val="0"/>
          <w:szCs w:val="21"/>
          <w:highlight w:val="none"/>
          <w:lang w:bidi="ar"/>
        </w:rPr>
        <w:t>四、采购人采购公开招标数额标准以上的货物或者服务，因落实促进残疾人就业政策的需要，依法履行有关报批程序后，可采用公开招标以外的采购方式。</w:t>
      </w:r>
    </w:p>
    <w:p>
      <w:pPr>
        <w:widowControl/>
        <w:wordWrap w:val="0"/>
        <w:spacing w:line="360" w:lineRule="auto"/>
        <w:ind w:firstLine="420"/>
        <w:jc w:val="left"/>
        <w:rPr>
          <w:rFonts w:hint="eastAsia" w:ascii="宋体" w:hAnsi="宋体" w:cs="宋体"/>
          <w:szCs w:val="21"/>
          <w:highlight w:val="none"/>
        </w:rPr>
      </w:pPr>
      <w:r>
        <w:rPr>
          <w:rFonts w:hint="eastAsia" w:ascii="宋体" w:hAnsi="宋体" w:cs="宋体"/>
          <w:kern w:val="0"/>
          <w:szCs w:val="21"/>
          <w:highlight w:val="none"/>
          <w:lang w:bidi="ar"/>
        </w:rPr>
        <w:t>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widowControl/>
        <w:wordWrap w:val="0"/>
        <w:spacing w:line="360" w:lineRule="auto"/>
        <w:ind w:firstLine="420"/>
        <w:jc w:val="left"/>
        <w:rPr>
          <w:rFonts w:hint="eastAsia" w:ascii="宋体" w:hAnsi="宋体" w:cs="宋体"/>
          <w:szCs w:val="21"/>
          <w:highlight w:val="none"/>
        </w:rPr>
      </w:pPr>
      <w:r>
        <w:rPr>
          <w:rFonts w:hint="eastAsia" w:ascii="宋体" w:hAnsi="宋体" w:cs="宋体"/>
          <w:kern w:val="0"/>
          <w:szCs w:val="21"/>
          <w:highlight w:val="none"/>
          <w:lang w:bidi="ar"/>
        </w:rPr>
        <w:t>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widowControl/>
        <w:wordWrap w:val="0"/>
        <w:spacing w:line="360" w:lineRule="auto"/>
        <w:ind w:firstLine="420"/>
        <w:jc w:val="left"/>
        <w:rPr>
          <w:rFonts w:hint="eastAsia" w:ascii="宋体" w:hAnsi="宋体" w:cs="宋体"/>
          <w:szCs w:val="21"/>
          <w:highlight w:val="none"/>
        </w:rPr>
      </w:pPr>
      <w:r>
        <w:rPr>
          <w:rFonts w:hint="eastAsia" w:ascii="宋体" w:hAnsi="宋体" w:cs="宋体"/>
          <w:kern w:val="0"/>
          <w:szCs w:val="21"/>
          <w:highlight w:val="none"/>
          <w:lang w:bidi="ar"/>
        </w:rPr>
        <w:t>七、本通知自</w:t>
      </w:r>
      <w:r>
        <w:rPr>
          <w:rStyle w:val="6"/>
          <w:rFonts w:hint="eastAsia" w:ascii="宋体" w:hAnsi="宋体" w:cs="宋体"/>
          <w:kern w:val="0"/>
          <w:szCs w:val="21"/>
          <w:highlight w:val="none"/>
          <w:lang w:bidi="ar"/>
        </w:rPr>
        <w:t>2017年10月1日</w:t>
      </w:r>
      <w:r>
        <w:rPr>
          <w:rFonts w:hint="eastAsia" w:ascii="宋体" w:hAnsi="宋体" w:cs="宋体"/>
          <w:kern w:val="0"/>
          <w:szCs w:val="21"/>
          <w:highlight w:val="none"/>
          <w:lang w:bidi="ar"/>
        </w:rPr>
        <w:t>起执行。</w:t>
      </w:r>
    </w:p>
    <w:p>
      <w:pPr>
        <w:widowControl/>
        <w:wordWrap w:val="0"/>
        <w:spacing w:line="360" w:lineRule="auto"/>
        <w:ind w:firstLine="420"/>
        <w:jc w:val="right"/>
        <w:rPr>
          <w:rFonts w:hint="eastAsia" w:ascii="宋体" w:hAnsi="宋体" w:cs="宋体"/>
          <w:szCs w:val="21"/>
          <w:highlight w:val="none"/>
        </w:rPr>
      </w:pPr>
      <w:r>
        <w:rPr>
          <w:rFonts w:hint="eastAsia" w:ascii="宋体" w:hAnsi="宋体" w:cs="宋体"/>
          <w:kern w:val="0"/>
          <w:szCs w:val="21"/>
          <w:highlight w:val="none"/>
          <w:lang w:bidi="ar"/>
        </w:rPr>
        <w:t>　　财政部 民政部 中国残疾人联合会</w:t>
      </w:r>
    </w:p>
    <w:p>
      <w:pPr>
        <w:widowControl/>
        <w:wordWrap w:val="0"/>
        <w:spacing w:line="360" w:lineRule="auto"/>
        <w:ind w:firstLine="420"/>
        <w:jc w:val="right"/>
        <w:rPr>
          <w:rFonts w:hint="eastAsia" w:ascii="宋体" w:hAnsi="宋体" w:cs="宋体"/>
          <w:spacing w:val="6"/>
          <w:szCs w:val="21"/>
          <w:highlight w:val="none"/>
          <w:lang w:val="zh-CN"/>
        </w:rPr>
      </w:pPr>
      <w:r>
        <w:rPr>
          <w:rFonts w:hint="eastAsia" w:ascii="宋体" w:hAnsi="宋体" w:cs="宋体"/>
          <w:kern w:val="0"/>
          <w:szCs w:val="21"/>
          <w:highlight w:val="none"/>
          <w:lang w:bidi="ar"/>
        </w:rPr>
        <w:t>　　2017年8月22日</w:t>
      </w:r>
    </w:p>
    <w:p>
      <w:pPr>
        <w:tabs>
          <w:tab w:val="left" w:pos="4860"/>
        </w:tabs>
        <w:spacing w:line="360" w:lineRule="auto"/>
        <w:ind w:right="108"/>
        <w:jc w:val="left"/>
        <w:rPr>
          <w:rFonts w:hint="eastAsia" w:ascii="宋体" w:hAnsi="宋体" w:cs="宋体"/>
          <w:spacing w:val="6"/>
          <w:szCs w:val="21"/>
          <w:highlight w:val="none"/>
        </w:rPr>
      </w:pP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3ZjE0MTQxNzc3YWFjYmEyZWIxYTA0MTE4NTcwYTgifQ=="/>
  </w:docVars>
  <w:rsids>
    <w:rsidRoot w:val="0C7F649F"/>
    <w:rsid w:val="0C7F64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link w:val="7"/>
    <w:qFormat/>
    <w:uiPriority w:val="0"/>
    <w:pPr>
      <w:keepNext/>
      <w:keepLines/>
      <w:spacing w:before="260" w:after="260" w:line="415" w:lineRule="auto"/>
      <w:jc w:val="center"/>
      <w:outlineLvl w:val="1"/>
    </w:pPr>
    <w:rPr>
      <w:rFonts w:ascii="Arial" w:hAnsi="Arial" w:eastAsia="宋体"/>
      <w:b/>
      <w:sz w:val="32"/>
      <w:szCs w:val="32"/>
      <w:lang w:val="zh-CN"/>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 w:type="character" w:styleId="6">
    <w:name w:val="Strong"/>
    <w:basedOn w:val="5"/>
    <w:qFormat/>
    <w:uiPriority w:val="22"/>
    <w:rPr>
      <w:b/>
      <w:bCs/>
    </w:rPr>
  </w:style>
  <w:style w:type="character" w:customStyle="1" w:styleId="7">
    <w:name w:val="标题 2 Char"/>
    <w:basedOn w:val="5"/>
    <w:link w:val="3"/>
    <w:qFormat/>
    <w:uiPriority w:val="0"/>
    <w:rPr>
      <w:rFonts w:ascii="Arial" w:hAnsi="Arial" w:eastAsia="宋体"/>
      <w:b/>
      <w:sz w:val="32"/>
      <w:szCs w:val="32"/>
      <w:lang w:val="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2022-07-28T08:49:00Z</dcterms:created>
  <dc:creator>深圳市正德招标代理有限公司</dc:creator>
  <cp:lastModifiedBy>深圳市正德招标代理有限公司</cp:lastModifiedBy>
  <dcterms:modified xsi:type="dcterms:W3CDTF">2022-07-28T08:50:14Z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4FA5D98CD6744D62BFDA6534451B6428</vt:lpwstr>
  </property>
</Properties>
</file>