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附件：</w:t>
      </w:r>
      <w:bookmarkStart w:id="0" w:name="_GoBack"/>
      <w:r>
        <w:rPr>
          <w:rFonts w:hint="eastAsia" w:ascii="仿宋" w:hAnsi="仿宋" w:eastAsia="仿宋" w:cs="仿宋"/>
          <w:color w:val="000000" w:themeColor="text1"/>
          <w:sz w:val="28"/>
          <w:szCs w:val="28"/>
          <w:lang w:val="en-US" w:eastAsia="zh-CN"/>
          <w14:textFill>
            <w14:solidFill>
              <w14:schemeClr w14:val="tx1"/>
            </w14:solidFill>
          </w14:textFill>
        </w:rPr>
        <w:t>体育器材清单</w:t>
      </w:r>
    </w:p>
    <w:bookmarkEnd w:id="0"/>
    <w:tbl>
      <w:tblPr>
        <w:tblStyle w:val="4"/>
        <w:tblW w:w="9491" w:type="dxa"/>
        <w:jc w:val="center"/>
        <w:shd w:val="clear" w:color="auto" w:fill="auto"/>
        <w:tblLayout w:type="fixed"/>
        <w:tblCellMar>
          <w:top w:w="0" w:type="dxa"/>
          <w:left w:w="108" w:type="dxa"/>
          <w:bottom w:w="0" w:type="dxa"/>
          <w:right w:w="108" w:type="dxa"/>
        </w:tblCellMar>
      </w:tblPr>
      <w:tblGrid>
        <w:gridCol w:w="938"/>
        <w:gridCol w:w="1242"/>
        <w:gridCol w:w="4655"/>
        <w:gridCol w:w="645"/>
        <w:gridCol w:w="645"/>
        <w:gridCol w:w="1366"/>
      </w:tblGrid>
      <w:tr>
        <w:tblPrEx>
          <w:shd w:val="clear" w:color="auto" w:fill="auto"/>
          <w:tblCellMar>
            <w:top w:w="0" w:type="dxa"/>
            <w:left w:w="108" w:type="dxa"/>
            <w:bottom w:w="0" w:type="dxa"/>
            <w:right w:w="108" w:type="dxa"/>
          </w:tblCellMar>
        </w:tblPrEx>
        <w:trPr>
          <w:trHeight w:val="58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FFD966"/>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1242" w:type="dxa"/>
            <w:tcBorders>
              <w:top w:val="single" w:color="000000" w:sz="4" w:space="0"/>
              <w:left w:val="single" w:color="000000" w:sz="4" w:space="0"/>
              <w:bottom w:val="single" w:color="000000" w:sz="4" w:space="0"/>
              <w:right w:val="single" w:color="000000" w:sz="4" w:space="0"/>
            </w:tcBorders>
            <w:shd w:val="clear" w:color="auto" w:fill="FFD966"/>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4655" w:type="dxa"/>
            <w:tcBorders>
              <w:top w:val="single" w:color="000000" w:sz="4" w:space="0"/>
              <w:left w:val="single" w:color="000000" w:sz="4" w:space="0"/>
              <w:bottom w:val="single" w:color="000000" w:sz="4" w:space="0"/>
              <w:right w:val="single" w:color="000000" w:sz="4" w:space="0"/>
            </w:tcBorders>
            <w:shd w:val="clear" w:color="auto" w:fill="FFD966"/>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w:t>
            </w:r>
          </w:p>
        </w:tc>
        <w:tc>
          <w:tcPr>
            <w:tcW w:w="645" w:type="dxa"/>
            <w:tcBorders>
              <w:top w:val="single" w:color="000000" w:sz="4" w:space="0"/>
              <w:left w:val="single" w:color="000000" w:sz="4" w:space="0"/>
              <w:bottom w:val="single" w:color="000000" w:sz="4" w:space="0"/>
              <w:right w:val="single" w:color="000000" w:sz="4" w:space="0"/>
            </w:tcBorders>
            <w:shd w:val="clear" w:color="auto" w:fill="FFD966"/>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FFD966"/>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366" w:type="dxa"/>
            <w:tcBorders>
              <w:top w:val="single" w:color="000000" w:sz="4" w:space="0"/>
              <w:left w:val="single" w:color="000000" w:sz="4" w:space="0"/>
              <w:bottom w:val="single" w:color="000000" w:sz="4" w:space="0"/>
              <w:right w:val="single" w:color="000000" w:sz="4" w:space="0"/>
            </w:tcBorders>
            <w:shd w:val="clear" w:color="auto" w:fill="FFD966"/>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86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起跑器</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1、起跑器外形尺寸：主体全长≥775mm，总宽度为≥200mm。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2、蹬脚座调节范围：前后距离调整：0-540mm（产品参数区间与招标要求范围不一致的均视为负偏离），蹬脚板角度调整：50度-70度，分4个档位。</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3、起跑器重量13kg±1kg。</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4、起跑器底座铝槽采用铸铝制作，通过地钉与地面接触，防止移位。</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5、起跑器蹬脚座分固定座和蹬脚板，均为铸铝件，蹬脚板板面为凹面，面板采用塑胶层，起防滑作用，蹬脚板面板斜度可调节。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6、两蹬脚座的相对位置可以前后调整</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7、起跑器上设有把手，便于移动。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8、起跑器主板底部装有用于固定在跑道上的地钉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长度为14mm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9、表面处理：氧化。</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符合通过国际田联认证及符合全国性田径竞赛要求（投标时提供中国田协审定证书及提供针对本产品的国际田联认证证书扫描件，原件备查）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11、所投产品制造商购买质量险、责任险、公众责任险、意外险（供货时提供保险公司出具给制造商的保险单扫描件，原件备查）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12、产品符合田径竞赛规则要求，投标时提供第三方检测机构出具的具有CMA标示的检测报告扫描件，原件备查。</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投标时提供制造商售后服务承诺函（格式自定）加盖投标人公章。</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副</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509905" cy="501650"/>
                  <wp:effectExtent l="0" t="0" r="4445" b="12700"/>
                  <wp:docPr id="2" name="图片_292"/>
                  <wp:cNvGraphicFramePr/>
                  <a:graphic xmlns:a="http://schemas.openxmlformats.org/drawingml/2006/main">
                    <a:graphicData uri="http://schemas.openxmlformats.org/drawingml/2006/picture">
                      <pic:pic xmlns:pic="http://schemas.openxmlformats.org/drawingml/2006/picture">
                        <pic:nvPicPr>
                          <pic:cNvPr id="2" name="图片_292"/>
                          <pic:cNvPicPr/>
                        </pic:nvPicPr>
                        <pic:blipFill>
                          <a:blip r:embed="rId4"/>
                          <a:stretch>
                            <a:fillRect/>
                          </a:stretch>
                        </pic:blipFill>
                        <pic:spPr>
                          <a:xfrm>
                            <a:off x="0" y="0"/>
                            <a:ext cx="509905" cy="501650"/>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110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田径拉力带</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长度：10m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4厘米宽，10米长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584200" cy="563245"/>
                  <wp:effectExtent l="0" t="0" r="6350" b="8255"/>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5"/>
                          <a:srcRect r="50163" b="-453"/>
                          <a:stretch>
                            <a:fillRect/>
                          </a:stretch>
                        </pic:blipFill>
                        <pic:spPr>
                          <a:xfrm>
                            <a:off x="0" y="0"/>
                            <a:ext cx="584200" cy="563245"/>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6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铅球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4kg（男）</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347345" cy="308610"/>
                  <wp:effectExtent l="0" t="0" r="14605" b="15240"/>
                  <wp:docPr id="9" name="图片_7"/>
                  <wp:cNvGraphicFramePr/>
                  <a:graphic xmlns:a="http://schemas.openxmlformats.org/drawingml/2006/main">
                    <a:graphicData uri="http://schemas.openxmlformats.org/drawingml/2006/picture">
                      <pic:pic xmlns:pic="http://schemas.openxmlformats.org/drawingml/2006/picture">
                        <pic:nvPicPr>
                          <pic:cNvPr id="9" name="图片_7"/>
                          <pic:cNvPicPr/>
                        </pic:nvPicPr>
                        <pic:blipFill>
                          <a:blip r:embed="rId6"/>
                          <a:stretch>
                            <a:fillRect/>
                          </a:stretch>
                        </pic:blipFill>
                        <pic:spPr>
                          <a:xfrm>
                            <a:off x="0" y="0"/>
                            <a:ext cx="347345" cy="308610"/>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60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铅球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3kg（女）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66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田径跨栏架</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1.栏板为ABS成型材料，可回收，其规格为：1200×70×20（mm）±5mm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立柱外管采用≥Ф29*1.2（mm）铝管制成，立柱内管采用≥Ф25*1.5（mm）焊管制成，立柱内管内置调高定位销，立柱外管上配置有与其所需高度相对应的高度定位孔，使得调高灵活，定位准确，锁紧可靠。底横杆采用≥Ф25*1.5（mm）焊管制成。</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3.底座方管采用≥Ф60*40*1.5（mm）焊管制成，内置配重，可调至满足比赛规则的要求。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4.跨栏架可调高度为762、838、914、991、1067mm（±10mm）。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5.器材表面处理：经抛丸——脱脂——水洗——无磷转化——水洗——烘干——静电粉末——固化等过程。</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6、符合通过国际田联认证及符合全国性田径竞赛要求（投标时提供中国田协审定证书及提供针对本产品的国际田联认证证书扫描件，原件备查）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7、所投产品制造商购买质量险、责任险、公众责任险、意外险（供货时提供保险公司出具给制造商的保险单扫描件，原件备查）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产品符合GBT23117-2008 要求，投标时提供第三方检测机构出具具有CMA标示的检测报告扫描件，原件备查。</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投标时提供制造商售后服务承诺函（格式自定）加盖投标人公章。</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66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跳高架</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1、跳高架由底座、固定立柱、移动立柱、横杆托架、微调支脚构成。产品形式简洁，结构合理，可装拆，便于运输和包装。</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2、固定立柱与移动立柱选用铝合金型材，型材之间采用燕尾槽配合。表面氧化处理。固定立柱上贴有不锈钢标尺，刻度调节范围：600-2600mm。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3、底座选用δ4铁板一次冲压成型，避免了焊接造成的接口腐蚀，底部设有PU滚轮，移动方便。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4、跳高架横杆托架采用铝压铸件，具有防腐蚀性、安全、牢固等优点且上下移动方便。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5、跳高架底座底部设有微调机构，通过调节微调机构可满足场地不平整引起的跳高架的稳定性和横杆的高度要求。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6、器材表面处理：经抛丸——脱脂——水洗——无磷转化——水洗——烘干——静电粉末——固化等过程。</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通过国际田联认证及符合全国性田径竞赛要求（投标时提供中国田协审定证书扫描件及提供针对本产品的国际田联认证证书扫描件，原件备查）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8、所投产品制造商购买质量险、责任险、公众责任险、意外险（供货时提供保险公司出具给制造商的保险单扫描件，原件备查）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9、产品符合GB/T 23122-2008 《跳高架》要求，投标时提供第三方检测机构出具的具有CMA标示的检测报告扫描件，原件备查。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投标时提供制造商售后服务承诺函（格式自定）并加盖投标人公章。</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付</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r>
              <w:rPr>
                <w:color w:val="auto"/>
              </w:rPr>
              <w:drawing>
                <wp:inline distT="0" distB="0" distL="114300" distR="114300">
                  <wp:extent cx="375285" cy="734060"/>
                  <wp:effectExtent l="0" t="0" r="5715" b="8890"/>
                  <wp:docPr id="15" name="图片 2" descr="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2201"/>
                          <pic:cNvPicPr>
                            <a:picLocks noChangeAspect="1"/>
                          </pic:cNvPicPr>
                        </pic:nvPicPr>
                        <pic:blipFill>
                          <a:blip r:embed="rId7"/>
                          <a:stretch>
                            <a:fillRect/>
                          </a:stretch>
                        </pic:blipFill>
                        <pic:spPr>
                          <a:xfrm>
                            <a:off x="0" y="0"/>
                            <a:ext cx="375285" cy="734060"/>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66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跳高横竿</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1.横杆采用φ30mm的玻璃钢材料制作。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2.跳高横杆总长为4000mm（±10mm）。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3、通过国际田联认证及符合全国性田径竞赛要求（投标时提供中国田协审定证书及提供针对本产品的国际田联认证证书扫描件，原件备查）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4、所投产品制造商购买质量险、责任险、公众责任险、意外险（供货时提供保险公司出具给制造商的保险单扫描件，原件备查）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产品符合GB/T23122-2008 要求，投标时提供第三方检测机构出具的具有CMA标示的检测报告扫描件，原件备查。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投标时提供售后服务承诺函（格式自定）加盖投标人公章。</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r>
              <w:rPr>
                <w:color w:val="auto"/>
              </w:rPr>
              <w:drawing>
                <wp:inline distT="0" distB="0" distL="114300" distR="114300">
                  <wp:extent cx="770255" cy="379095"/>
                  <wp:effectExtent l="0" t="0" r="10795" b="1905"/>
                  <wp:docPr id="10" name="图片 9" descr="FIL13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FIL13551-1"/>
                          <pic:cNvPicPr>
                            <a:picLocks noChangeAspect="1"/>
                          </pic:cNvPicPr>
                        </pic:nvPicPr>
                        <pic:blipFill>
                          <a:blip r:embed="rId8"/>
                          <a:stretch>
                            <a:fillRect/>
                          </a:stretch>
                        </pic:blipFill>
                        <pic:spPr>
                          <a:xfrm>
                            <a:off x="0" y="0"/>
                            <a:ext cx="770255" cy="37909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68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接力棒</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铝合金比赛专用</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2.8CM</w:t>
            </w:r>
          </w:p>
        </w:tc>
      </w:tr>
      <w:tr>
        <w:tblPrEx>
          <w:shd w:val="clear" w:color="auto" w:fill="auto"/>
          <w:tblCellMar>
            <w:top w:w="0" w:type="dxa"/>
            <w:left w:w="108" w:type="dxa"/>
            <w:bottom w:w="0" w:type="dxa"/>
            <w:right w:w="108" w:type="dxa"/>
          </w:tblCellMar>
        </w:tblPrEx>
        <w:trPr>
          <w:trHeight w:val="96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田径拉力带</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长度：5m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567055" cy="526415"/>
                  <wp:effectExtent l="0" t="0" r="4445" b="6985"/>
                  <wp:docPr id="4" name="图片_5"/>
                  <wp:cNvGraphicFramePr/>
                  <a:graphic xmlns:a="http://schemas.openxmlformats.org/drawingml/2006/main">
                    <a:graphicData uri="http://schemas.openxmlformats.org/drawingml/2006/picture">
                      <pic:pic xmlns:pic="http://schemas.openxmlformats.org/drawingml/2006/picture">
                        <pic:nvPicPr>
                          <pic:cNvPr id="4" name="图片_5"/>
                          <pic:cNvPicPr/>
                        </pic:nvPicPr>
                        <pic:blipFill>
                          <a:blip r:embed="rId5"/>
                          <a:srcRect l="51625" b="6116"/>
                          <a:stretch>
                            <a:fillRect/>
                          </a:stretch>
                        </pic:blipFill>
                        <pic:spPr>
                          <a:xfrm>
                            <a:off x="0" y="0"/>
                            <a:ext cx="567055" cy="526415"/>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88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艺术体操球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荧光粉色15厘米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447040" cy="435610"/>
                  <wp:effectExtent l="0" t="0" r="10160" b="2540"/>
                  <wp:docPr id="11" name="图片_8"/>
                  <wp:cNvGraphicFramePr/>
                  <a:graphic xmlns:a="http://schemas.openxmlformats.org/drawingml/2006/main">
                    <a:graphicData uri="http://schemas.openxmlformats.org/drawingml/2006/picture">
                      <pic:pic xmlns:pic="http://schemas.openxmlformats.org/drawingml/2006/picture">
                        <pic:nvPicPr>
                          <pic:cNvPr id="11" name="图片_8"/>
                          <pic:cNvPicPr/>
                        </pic:nvPicPr>
                        <pic:blipFill>
                          <a:blip r:embed="rId9"/>
                          <a:stretch>
                            <a:fillRect/>
                          </a:stretch>
                        </pic:blipFill>
                        <pic:spPr>
                          <a:xfrm>
                            <a:off x="0" y="0"/>
                            <a:ext cx="447040" cy="435610"/>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86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艺术体操纱巾</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幻彩浅紫色0.75x0.5m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341630" cy="405130"/>
                  <wp:effectExtent l="0" t="0" r="1270" b="13970"/>
                  <wp:docPr id="3" name="图片_10"/>
                  <wp:cNvGraphicFramePr/>
                  <a:graphic xmlns:a="http://schemas.openxmlformats.org/drawingml/2006/main">
                    <a:graphicData uri="http://schemas.openxmlformats.org/drawingml/2006/picture">
                      <pic:pic xmlns:pic="http://schemas.openxmlformats.org/drawingml/2006/picture">
                        <pic:nvPicPr>
                          <pic:cNvPr id="3" name="图片_10"/>
                          <pic:cNvPicPr/>
                        </pic:nvPicPr>
                        <pic:blipFill>
                          <a:blip r:embed="rId10"/>
                          <a:stretch>
                            <a:fillRect/>
                          </a:stretch>
                        </pic:blipFill>
                        <pic:spPr>
                          <a:xfrm>
                            <a:off x="0" y="0"/>
                            <a:ext cx="341630" cy="405130"/>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92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艺术体操圈</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白色75厘米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524510" cy="514350"/>
                  <wp:effectExtent l="0" t="0" r="8890" b="0"/>
                  <wp:docPr id="5" name="图片_11"/>
                  <wp:cNvGraphicFramePr/>
                  <a:graphic xmlns:a="http://schemas.openxmlformats.org/drawingml/2006/main">
                    <a:graphicData uri="http://schemas.openxmlformats.org/drawingml/2006/picture">
                      <pic:pic xmlns:pic="http://schemas.openxmlformats.org/drawingml/2006/picture">
                        <pic:nvPicPr>
                          <pic:cNvPr id="5" name="图片_11"/>
                          <pic:cNvPicPr/>
                        </pic:nvPicPr>
                        <pic:blipFill>
                          <a:blip r:embed="rId11"/>
                          <a:stretch>
                            <a:fillRect/>
                          </a:stretch>
                        </pic:blipFill>
                        <pic:spPr>
                          <a:xfrm>
                            <a:off x="0" y="0"/>
                            <a:ext cx="524510" cy="514350"/>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52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钢丝跳绳</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黑白手柄2.8米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30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148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钢丝剪</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长20cm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680720" cy="741045"/>
                  <wp:effectExtent l="0" t="0" r="5080" b="1905"/>
                  <wp:docPr id="8" name="图片_13"/>
                  <wp:cNvGraphicFramePr/>
                  <a:graphic xmlns:a="http://schemas.openxmlformats.org/drawingml/2006/main">
                    <a:graphicData uri="http://schemas.openxmlformats.org/drawingml/2006/picture">
                      <pic:pic xmlns:pic="http://schemas.openxmlformats.org/drawingml/2006/picture">
                        <pic:nvPicPr>
                          <pic:cNvPr id="8" name="图片_13"/>
                          <pic:cNvPicPr/>
                        </pic:nvPicPr>
                        <pic:blipFill>
                          <a:blip r:embed="rId12"/>
                          <a:stretch>
                            <a:fillRect/>
                          </a:stretch>
                        </pic:blipFill>
                        <pic:spPr>
                          <a:xfrm>
                            <a:off x="0" y="0"/>
                            <a:ext cx="680720" cy="741045"/>
                          </a:xfrm>
                          <a:prstGeom prst="rect">
                            <a:avLst/>
                          </a:prstGeom>
                          <a:noFill/>
                          <a:ln>
                            <a:noFill/>
                          </a:ln>
                        </pic:spPr>
                      </pic:pic>
                    </a:graphicData>
                  </a:graphic>
                </wp:inline>
              </w:drawing>
            </w:r>
          </w:p>
        </w:tc>
      </w:tr>
      <w:tr>
        <w:tblPrEx>
          <w:shd w:val="clear" w:color="auto" w:fill="auto"/>
          <w:tblCellMar>
            <w:top w:w="0" w:type="dxa"/>
            <w:left w:w="108" w:type="dxa"/>
            <w:bottom w:w="0" w:type="dxa"/>
            <w:right w:w="108" w:type="dxa"/>
          </w:tblCellMar>
        </w:tblPrEx>
        <w:trPr>
          <w:trHeight w:val="22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分队马甲成人款</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9"/>
                <w:color w:val="auto"/>
                <w:lang w:val="en-US" w:eastAsia="zh-CN" w:bidi="ar"/>
              </w:rPr>
              <w:t>胸前印七1、七2、七3、七4、七5、七6、七7、七8、七9、七10、八1、八2、八3、八4、八5、八6、八7、八8、八9、八10，每班各两件马甲，换洗。七年级橙色、八年级绿色</w:t>
            </w:r>
            <w:r>
              <w:rPr>
                <w:rStyle w:val="9"/>
                <w:color w:val="auto"/>
                <w:lang w:val="en-US" w:eastAsia="zh-CN" w:bidi="ar"/>
              </w:rPr>
              <w:br w:type="textWrapping"/>
            </w:r>
            <w:r>
              <w:rPr>
                <w:rStyle w:val="10"/>
                <w:color w:val="auto"/>
                <w:lang w:val="en-US" w:eastAsia="zh-CN" w:bidi="ar"/>
              </w:rPr>
              <w:t>以上20个班*2件/班=40件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件</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inline distT="0" distB="0" distL="114300" distR="114300">
                  <wp:extent cx="767080" cy="441325"/>
                  <wp:effectExtent l="0" t="0" r="13970" b="15875"/>
                  <wp:docPr id="6" name="图片_4"/>
                  <wp:cNvGraphicFramePr/>
                  <a:graphic xmlns:a="http://schemas.openxmlformats.org/drawingml/2006/main">
                    <a:graphicData uri="http://schemas.openxmlformats.org/drawingml/2006/picture">
                      <pic:pic xmlns:pic="http://schemas.openxmlformats.org/drawingml/2006/picture">
                        <pic:nvPicPr>
                          <pic:cNvPr id="6" name="图片_4"/>
                          <pic:cNvPicPr/>
                        </pic:nvPicPr>
                        <pic:blipFill>
                          <a:blip r:embed="rId13"/>
                          <a:stretch>
                            <a:fillRect/>
                          </a:stretch>
                        </pic:blipFill>
                        <pic:spPr>
                          <a:xfrm>
                            <a:off x="0" y="0"/>
                            <a:ext cx="767080" cy="441325"/>
                          </a:xfrm>
                          <a:prstGeom prst="rect">
                            <a:avLst/>
                          </a:prstGeom>
                          <a:noFill/>
                          <a:ln>
                            <a:noFill/>
                          </a:ln>
                        </pic:spPr>
                      </pic:pic>
                    </a:graphicData>
                  </a:graphic>
                </wp:inline>
              </w:drawing>
            </w:r>
            <w:r>
              <w:rPr>
                <w:rStyle w:val="11"/>
                <w:rFonts w:eastAsia="宋体"/>
                <w:color w:val="auto"/>
                <w:lang w:val="en-US" w:eastAsia="zh-CN" w:bidi="ar"/>
              </w:rPr>
              <w:br w:type="textWrapping"/>
            </w: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小学生5号篮球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魔腾3180</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5号球，丁基内胆</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篮球战术板</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铝合金边框板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球类收纳筐（推车）</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1.推车外形基本尺寸：长×宽×高=950×800×800(㎜)。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2.推车主要采用φ22x1.5圆管在专用弯管机上弯曲成形后拼焊而成，推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车整体可折叠，存放时可减少空间。</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3.推车支脚底部装有滚轮，移动方便。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小学生4号足球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STAR世达SB5394C</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4号球</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成人5号足球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Nike耐克</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5号球</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6号小篮球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摩腾3180</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6号球</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7号篮球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摩腾3180</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7号球</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体操垫</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100*50*5CM，折叠海绵垫</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体操垫</w:t>
            </w:r>
          </w:p>
        </w:tc>
        <w:tc>
          <w:tcPr>
            <w:tcW w:w="465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1.2m*0.6m*0.1m，折叠海绵垫</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标志碟</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训练用</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大网兜</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大网兜(大号)</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小沙包</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250G</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呼啦圈</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七彩，（内径约50cm,外径约55cm)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跳绳（短绳）</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竹节短绳（2.9m)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跳绳（长绳）</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竹节长绳（7-10m)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乒乓球拍</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训练型</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副</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乒乓球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红双喜一星</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乒乓球挡板</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红双喜si-01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长跳绳</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9米跳绳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可移动小篮球架</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8" w:firstLineChars="91"/>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1、产品技术规格：篮圈高度可调，调节范围：2000—2750mm；球架底座：长×宽=1500×1000mm±10mm</w:t>
            </w:r>
          </w:p>
          <w:p>
            <w:pPr>
              <w:keepNext w:val="0"/>
              <w:keepLines w:val="0"/>
              <w:widowControl/>
              <w:suppressLineNumbers w:val="0"/>
              <w:ind w:left="0" w:leftChars="0" w:firstLine="218" w:firstLineChars="91"/>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产品用材：篮架立柱采用口≥70mm×70mm×3mm、≥70mm×50mm×3mm、≥30mm×30mm×2mm的焊方管制作，调节外管采用口≥100mm×100mm×3mm焊方管制作，调节内管采用口≥80mm×80mm×2mm焊方管制作，调节机构采用板材配置调节丝杠制成，外部封闭型，防雨防锈防盗，调节机构内设限位机构，通过摇手柄调节篮圈高度。球架底座轮廓采用内卷槽钢一次拼焊成型，篮架底座后部设有配重箱，可放入不少于200kg的配重物质，且篮架配置有膨胀螺栓和固定压板，可将球架固定于水泥地面。</w:t>
            </w:r>
          </w:p>
          <w:p>
            <w:pPr>
              <w:keepNext w:val="0"/>
              <w:keepLines w:val="0"/>
              <w:widowControl/>
              <w:suppressLineNumbers w:val="0"/>
              <w:ind w:left="0" w:leftChars="0" w:firstLine="218" w:firstLineChars="91"/>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3、篮板：规格：1200x900（mm），篮板配用国际通用的安全玻璃篮板，并在篮板下沿及侧面覆盖有保护条。</w:t>
            </w:r>
          </w:p>
          <w:p>
            <w:pPr>
              <w:keepNext w:val="0"/>
              <w:keepLines w:val="0"/>
              <w:widowControl/>
              <w:suppressLineNumbers w:val="0"/>
              <w:ind w:left="0" w:leftChars="0" w:firstLine="218" w:firstLineChars="91"/>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4、篮圈：采用φ17实心圆钢制作，内径为450mm。篮圈圈条下沿焊有≥4毫米圆钢，圆钢间隔均匀设置成小环状，共12处。篮圈水平固定在篮板上，与篮架连接的钢板采用钢板一次冲压成型</w:t>
            </w:r>
          </w:p>
          <w:p>
            <w:pPr>
              <w:keepNext w:val="0"/>
              <w:keepLines w:val="0"/>
              <w:widowControl/>
              <w:suppressLineNumbers w:val="0"/>
              <w:ind w:left="0" w:leftChars="0" w:firstLine="218" w:firstLineChars="91"/>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所投产品制造商购买质量险、责任险、公众责任险、意外险（供货时提供保险公司出具给制造商的保险单扫描件，原件备查）</w:t>
            </w:r>
          </w:p>
          <w:p>
            <w:pPr>
              <w:keepNext w:val="0"/>
              <w:keepLines w:val="0"/>
              <w:widowControl/>
              <w:suppressLineNumbers w:val="0"/>
              <w:ind w:left="0" w:leftChars="0" w:firstLine="218" w:firstLineChars="91"/>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r>
              <w:rPr>
                <w:rFonts w:hint="eastAsia" w:ascii="宋体" w:hAnsi="宋体" w:cs="仿宋"/>
                <w:szCs w:val="21"/>
              </w:rPr>
              <w:t>▲</w:t>
            </w:r>
            <w:r>
              <w:rPr>
                <w:rFonts w:hint="eastAsia" w:ascii="宋体" w:hAnsi="宋体" w:eastAsia="宋体" w:cs="宋体"/>
                <w:i w:val="0"/>
                <w:iCs w:val="0"/>
                <w:color w:val="auto"/>
                <w:kern w:val="0"/>
                <w:sz w:val="24"/>
                <w:szCs w:val="24"/>
                <w:u w:val="none"/>
                <w:lang w:val="en-US" w:eastAsia="zh-CN" w:bidi="ar"/>
              </w:rPr>
              <w:t>中国篮球大型赛事证明。</w:t>
            </w:r>
          </w:p>
          <w:p>
            <w:pPr>
              <w:keepNext w:val="0"/>
              <w:keepLines w:val="0"/>
              <w:widowControl/>
              <w:suppressLineNumbers w:val="0"/>
              <w:ind w:left="0" w:leftChars="0" w:firstLine="218" w:firstLineChars="91"/>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7、制造商售后服务承诺函</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副</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r>
              <w:rPr>
                <w:color w:val="auto"/>
              </w:rPr>
              <w:drawing>
                <wp:inline distT="0" distB="0" distL="114300" distR="114300">
                  <wp:extent cx="755650" cy="1053465"/>
                  <wp:effectExtent l="0" t="0" r="6350" b="13335"/>
                  <wp:docPr id="12" name="图片 186" descr="1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6" descr="11308"/>
                          <pic:cNvPicPr>
                            <a:picLocks noChangeAspect="1"/>
                          </pic:cNvPicPr>
                        </pic:nvPicPr>
                        <pic:blipFill>
                          <a:blip r:embed="rId14"/>
                          <a:stretch>
                            <a:fillRect/>
                          </a:stretch>
                        </pic:blipFill>
                        <pic:spPr>
                          <a:xfrm>
                            <a:off x="0" y="0"/>
                            <a:ext cx="755650" cy="105346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单杠区保护地垫</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12×2.0×0.2m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蓝色</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r>
              <w:rPr>
                <w:color w:val="auto"/>
              </w:rPr>
              <w:drawing>
                <wp:inline distT="0" distB="0" distL="114300" distR="114300">
                  <wp:extent cx="647700" cy="457200"/>
                  <wp:effectExtent l="0" t="0" r="0" b="0"/>
                  <wp:docPr id="14" name="图片 2" descr="单杠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单杠垫"/>
                          <pic:cNvPicPr>
                            <a:picLocks noChangeAspect="1"/>
                          </pic:cNvPicPr>
                        </pic:nvPicPr>
                        <pic:blipFill>
                          <a:blip r:embed="rId15"/>
                          <a:stretch>
                            <a:fillRect/>
                          </a:stretch>
                        </pic:blipFill>
                        <pic:spPr>
                          <a:xfrm>
                            <a:off x="0" y="0"/>
                            <a:ext cx="647700" cy="457200"/>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乒乓球桌</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40mm方管外脚，台脚装直径75mm脚轮。半副可竖放，移动方便。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台长：2740mm 台宽：1525mm 台高：760mm 平面度：≤3mm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杠铃杆</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杠铃片</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每组105KG，2.5kg-20kg</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敏捷梯</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10米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lang w:val="en-US" w:eastAsia="zh-CN"/>
              </w:rPr>
              <w:t>12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矮栏架</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20-25㎝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lang w:val="en-US" w:eastAsia="zh-CN"/>
              </w:rPr>
              <w:t>40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泡沫轴</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药球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6-8磅</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lang w:val="en-US" w:eastAsia="zh-CN"/>
              </w:rPr>
              <w:t>25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哑铃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rPr>
              <w:t>5公斤</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lang w:val="en-US" w:eastAsia="zh-CN"/>
              </w:rPr>
              <w:t>25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lang w:val="en-US" w:eastAsia="zh-CN"/>
              </w:rPr>
              <w:t>副</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哨子</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普通</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打气筒</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台</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秒表</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天福</w:t>
            </w:r>
            <w:r>
              <w:rPr>
                <w:rFonts w:hint="eastAsia"/>
                <w:sz w:val="24"/>
                <w:szCs w:val="32"/>
                <w:vertAlign w:val="baseline"/>
                <w:lang w:val="en-US" w:eastAsia="zh-CN"/>
              </w:rPr>
              <w:t>60道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沙扒</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道次墩</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rPr>
            </w:pPr>
            <w:r>
              <w:rPr>
                <w:rFonts w:hint="eastAsia" w:ascii="宋体" w:hAnsi="宋体"/>
                <w:color w:val="000000"/>
                <w:lang w:eastAsia="zh-CN"/>
              </w:rPr>
              <w:t>金陵</w:t>
            </w:r>
            <w:r>
              <w:rPr>
                <w:rFonts w:hint="eastAsia" w:ascii="宋体" w:hAnsi="宋体"/>
                <w:color w:val="000000"/>
              </w:rPr>
              <w:t>DCD-1A</w:t>
            </w:r>
            <w:r>
              <w:rPr>
                <w:rFonts w:hint="eastAsia" w:ascii="宋体" w:hAnsi="宋体"/>
                <w:color w:val="000000"/>
                <w:lang w:val="en-US" w:eastAsia="zh-CN"/>
              </w:rPr>
              <w:t xml:space="preserve"> </w:t>
            </w:r>
            <w:r>
              <w:rPr>
                <w:rFonts w:hint="eastAsia"/>
                <w:sz w:val="24"/>
                <w:szCs w:val="32"/>
                <w:vertAlign w:val="baseline"/>
                <w:lang w:val="en-US" w:eastAsia="zh-CN"/>
              </w:rPr>
              <w:t>1-6号</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套</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手持喊话器</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卷尺</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50米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小旗</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红白各</w:t>
            </w:r>
            <w:r>
              <w:rPr>
                <w:rFonts w:hint="eastAsia"/>
                <w:sz w:val="24"/>
                <w:szCs w:val="32"/>
                <w:vertAlign w:val="baseline"/>
                <w:lang w:val="en-US" w:eastAsia="zh-CN"/>
              </w:rPr>
              <w:t>10个</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shd w:val="clear" w:color="auto" w:fill="auto"/>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推水器</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恰好时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画线车</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含石灰粉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lang w:val="en-US" w:eastAsia="zh-CN"/>
              </w:rPr>
            </w:pPr>
            <w:r>
              <w:rPr>
                <w:rFonts w:hint="eastAsia"/>
                <w:lang w:val="en-US" w:eastAsia="zh-CN"/>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台</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足球立杆</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带底座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40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跳高垫</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3米*2米，厚度50，折叠款</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张</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57</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实心球</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1KG</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个</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9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比赛跳高架</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金陵TGJ-2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副</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59</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跳高横竿</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金陵HG-1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接力棒</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铝合金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c>
          <w:tcPr>
            <w:tcW w:w="124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eastAsia="zh-CN"/>
              </w:rPr>
              <w:t>竹节长绳</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7米、手柄蓝色</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62</w:t>
            </w:r>
          </w:p>
        </w:tc>
        <w:tc>
          <w:tcPr>
            <w:tcW w:w="124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10米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63</w:t>
            </w:r>
          </w:p>
        </w:tc>
        <w:tc>
          <w:tcPr>
            <w:tcW w:w="124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5米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64</w:t>
            </w:r>
          </w:p>
        </w:tc>
        <w:tc>
          <w:tcPr>
            <w:tcW w:w="124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6米</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eastAsia="zh-CN"/>
              </w:rPr>
              <w:t>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发令枪</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2发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把</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r>
        <w:tblPrEx>
          <w:tblCellMar>
            <w:top w:w="0" w:type="dxa"/>
            <w:left w:w="108" w:type="dxa"/>
            <w:bottom w:w="0" w:type="dxa"/>
            <w:right w:w="108" w:type="dxa"/>
          </w:tblCellMar>
        </w:tblPrEx>
        <w:trPr>
          <w:trHeight w:val="440"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66</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发令弹</w:t>
            </w:r>
          </w:p>
        </w:tc>
        <w:tc>
          <w:tcPr>
            <w:tcW w:w="4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sz w:val="24"/>
                <w:szCs w:val="32"/>
                <w:vertAlign w:val="baseline"/>
                <w:lang w:val="en-US" w:eastAsia="zh-CN"/>
              </w:rPr>
              <w:t>100粒/盒</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sz w:val="24"/>
                <w:szCs w:val="32"/>
                <w:vertAlign w:val="baseline"/>
                <w:lang w:val="en-US" w:eastAsia="zh-CN"/>
              </w:rPr>
              <w:t>盒</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rPr>
            </w:pPr>
          </w:p>
        </w:tc>
      </w:tr>
    </w:tbl>
    <w:p/>
    <w:p>
      <w:pPr>
        <w:rPr>
          <w:rFonts w:hint="default" w:ascii="仿宋" w:hAnsi="仿宋" w:eastAsia="仿宋" w:cs="仿宋"/>
          <w:color w:val="000000" w:themeColor="text1"/>
          <w:sz w:val="28"/>
          <w:szCs w:val="28"/>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5"/>
    <w:rsid w:val="00046AB4"/>
    <w:rsid w:val="00217903"/>
    <w:rsid w:val="0024319A"/>
    <w:rsid w:val="0026645C"/>
    <w:rsid w:val="0029086C"/>
    <w:rsid w:val="002A23B9"/>
    <w:rsid w:val="00394DBB"/>
    <w:rsid w:val="003C4B9A"/>
    <w:rsid w:val="00425430"/>
    <w:rsid w:val="00430DFA"/>
    <w:rsid w:val="00466D0E"/>
    <w:rsid w:val="004C5DEA"/>
    <w:rsid w:val="005860C7"/>
    <w:rsid w:val="006A02EC"/>
    <w:rsid w:val="00774BB1"/>
    <w:rsid w:val="007D1BED"/>
    <w:rsid w:val="00854828"/>
    <w:rsid w:val="009508B5"/>
    <w:rsid w:val="00952558"/>
    <w:rsid w:val="009E1BB5"/>
    <w:rsid w:val="00A81D8B"/>
    <w:rsid w:val="00AC69F2"/>
    <w:rsid w:val="00B221D5"/>
    <w:rsid w:val="00B23487"/>
    <w:rsid w:val="00B60B64"/>
    <w:rsid w:val="00C228C4"/>
    <w:rsid w:val="00C34D54"/>
    <w:rsid w:val="00CB64A1"/>
    <w:rsid w:val="00D64622"/>
    <w:rsid w:val="00E35C39"/>
    <w:rsid w:val="00EC6E5A"/>
    <w:rsid w:val="0A397E8E"/>
    <w:rsid w:val="0B8E438F"/>
    <w:rsid w:val="0CA23E3C"/>
    <w:rsid w:val="11E3428C"/>
    <w:rsid w:val="156F39FB"/>
    <w:rsid w:val="1AE23C2A"/>
    <w:rsid w:val="1E0D656D"/>
    <w:rsid w:val="219E6AFD"/>
    <w:rsid w:val="22644521"/>
    <w:rsid w:val="2292171D"/>
    <w:rsid w:val="24D26ABE"/>
    <w:rsid w:val="25B03EDD"/>
    <w:rsid w:val="2DCE4E22"/>
    <w:rsid w:val="39B96D01"/>
    <w:rsid w:val="3B44206B"/>
    <w:rsid w:val="3C4B75DC"/>
    <w:rsid w:val="3E8C789C"/>
    <w:rsid w:val="4E3667AA"/>
    <w:rsid w:val="4F450551"/>
    <w:rsid w:val="50810CE3"/>
    <w:rsid w:val="5C061978"/>
    <w:rsid w:val="5D8B2230"/>
    <w:rsid w:val="62BE6FB7"/>
    <w:rsid w:val="631150CC"/>
    <w:rsid w:val="6A013C98"/>
    <w:rsid w:val="6C663A7F"/>
    <w:rsid w:val="74CA4688"/>
    <w:rsid w:val="782A66B6"/>
    <w:rsid w:val="79416603"/>
    <w:rsid w:val="7E3733FB"/>
    <w:rsid w:val="7F2C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41"/>
    <w:basedOn w:val="6"/>
    <w:qFormat/>
    <w:uiPriority w:val="0"/>
    <w:rPr>
      <w:rFonts w:hint="eastAsia" w:ascii="宋体" w:hAnsi="宋体" w:eastAsia="宋体" w:cs="宋体"/>
      <w:color w:val="000000"/>
      <w:sz w:val="21"/>
      <w:szCs w:val="21"/>
      <w:u w:val="none"/>
    </w:rPr>
  </w:style>
  <w:style w:type="character" w:customStyle="1" w:styleId="10">
    <w:name w:val="font51"/>
    <w:basedOn w:val="6"/>
    <w:qFormat/>
    <w:uiPriority w:val="0"/>
    <w:rPr>
      <w:rFonts w:hint="eastAsia" w:ascii="宋体" w:hAnsi="宋体" w:eastAsia="宋体" w:cs="宋体"/>
      <w:color w:val="FF0000"/>
      <w:sz w:val="21"/>
      <w:szCs w:val="21"/>
      <w:u w:val="none"/>
    </w:rPr>
  </w:style>
  <w:style w:type="character" w:customStyle="1" w:styleId="11">
    <w:name w:val="font1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1286</Characters>
  <Lines>10</Lines>
  <Paragraphs>3</Paragraphs>
  <TotalTime>12</TotalTime>
  <ScaleCrop>false</ScaleCrop>
  <LinksUpToDate>false</LinksUpToDate>
  <CharactersWithSpaces>1508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2021-05-06T02:55:00Z</dcterms:created>
  <dc:creator>f</dc:creator>
  <cp:lastModifiedBy>Administrator</cp:lastModifiedBy>
  <cp:lastPrinted>2021-01-09T00:50:00Z</cp:lastPrinted>
  <dcterms:modified xsi:type="dcterms:W3CDTF">2021-11-12T11:24:57Z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CC34599865504F95ABD1520A0856C3D7</vt:lpwstr>
  </property>
</Properties>
</file>